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shd w:val="clear" w:color="auto" w:fill="FFFFFF"/>
        <w:tblCellMar>
          <w:left w:w="0" w:type="dxa"/>
          <w:right w:w="0" w:type="dxa"/>
        </w:tblCellMar>
        <w:tblLook w:val="04A0" w:firstRow="1" w:lastRow="0" w:firstColumn="1" w:lastColumn="0" w:noHBand="0" w:noVBand="1"/>
      </w:tblPr>
      <w:tblGrid>
        <w:gridCol w:w="10466"/>
      </w:tblGrid>
      <w:tr w:rsidR="00AE0E87" w:rsidRPr="00775ACD" w14:paraId="307E4BBA" w14:textId="77777777" w:rsidTr="00AE0E87">
        <w:tc>
          <w:tcPr>
            <w:tcW w:w="0" w:type="auto"/>
            <w:tcBorders>
              <w:top w:val="nil"/>
              <w:bottom w:val="nil"/>
            </w:tcBorders>
            <w:shd w:val="clear" w:color="auto" w:fill="FFFFFF"/>
            <w:tcMar>
              <w:top w:w="135" w:type="dxa"/>
              <w:left w:w="0" w:type="dxa"/>
              <w:bottom w:w="135" w:type="dxa"/>
              <w:right w:w="0" w:type="dxa"/>
            </w:tcMar>
            <w:hideMark/>
          </w:tcPr>
          <w:tbl>
            <w:tblPr>
              <w:tblW w:w="5000" w:type="pct"/>
              <w:tblCellMar>
                <w:left w:w="0" w:type="dxa"/>
                <w:right w:w="0" w:type="dxa"/>
              </w:tblCellMar>
              <w:tblLook w:val="0480" w:firstRow="0" w:lastRow="0" w:firstColumn="1" w:lastColumn="0" w:noHBand="0" w:noVBand="1"/>
            </w:tblPr>
            <w:tblGrid>
              <w:gridCol w:w="10466"/>
            </w:tblGrid>
            <w:tr w:rsidR="00AE0E87" w:rsidRPr="00E40726" w14:paraId="2312ECB0" w14:textId="77777777" w:rsidTr="00AE0E87">
              <w:tc>
                <w:tcPr>
                  <w:tcW w:w="0" w:type="auto"/>
                  <w:tcMar>
                    <w:top w:w="135" w:type="dxa"/>
                    <w:left w:w="135" w:type="dxa"/>
                    <w:bottom w:w="135" w:type="dxa"/>
                    <w:right w:w="135" w:type="dxa"/>
                  </w:tcMar>
                  <w:hideMark/>
                </w:tcPr>
                <w:tbl>
                  <w:tblPr>
                    <w:tblpPr w:leftFromText="23" w:rightFromText="23" w:vertAnchor="text"/>
                    <w:tblW w:w="5000" w:type="pct"/>
                    <w:tblCellMar>
                      <w:left w:w="0" w:type="dxa"/>
                      <w:right w:w="0" w:type="dxa"/>
                    </w:tblCellMar>
                    <w:tblLook w:val="04A0" w:firstRow="1" w:lastRow="0" w:firstColumn="1" w:lastColumn="0" w:noHBand="0" w:noVBand="1"/>
                  </w:tblPr>
                  <w:tblGrid>
                    <w:gridCol w:w="10196"/>
                  </w:tblGrid>
                  <w:tr w:rsidR="00AE0E87" w:rsidRPr="00E40726" w14:paraId="4E7D9EF7" w14:textId="77777777" w:rsidTr="00AE0E87">
                    <w:trPr>
                      <w:trHeight w:val="50"/>
                    </w:trPr>
                    <w:tc>
                      <w:tcPr>
                        <w:tcW w:w="0" w:type="auto"/>
                        <w:tcMar>
                          <w:top w:w="0" w:type="dxa"/>
                          <w:left w:w="135" w:type="dxa"/>
                          <w:bottom w:w="0" w:type="dxa"/>
                          <w:right w:w="135" w:type="dxa"/>
                        </w:tcMar>
                        <w:hideMark/>
                      </w:tcPr>
                      <w:p w14:paraId="065037E9" w14:textId="77777777" w:rsidR="00AE0E87" w:rsidRPr="00E40726" w:rsidRDefault="00AE0E87" w:rsidP="00AE0E87">
                        <w:pPr>
                          <w:spacing w:after="0" w:line="240" w:lineRule="auto"/>
                          <w:jc w:val="center"/>
                          <w:rPr>
                            <w:rFonts w:eastAsia="Times New Roman" w:cstheme="minorHAnsi"/>
                            <w:lang w:eastAsia="en-GB"/>
                          </w:rPr>
                        </w:pPr>
                        <w:bookmarkStart w:id="0" w:name="_GoBack"/>
                        <w:bookmarkEnd w:id="0"/>
                        <w:r w:rsidRPr="00E40726">
                          <w:rPr>
                            <w:rFonts w:eastAsia="Times New Roman" w:cstheme="minorHAnsi"/>
                            <w:noProof/>
                            <w:lang w:eastAsia="en-GB"/>
                          </w:rPr>
                          <w:drawing>
                            <wp:anchor distT="0" distB="0" distL="114300" distR="114300" simplePos="0" relativeHeight="251658240" behindDoc="0" locked="0" layoutInCell="1" allowOverlap="1" wp14:anchorId="4A082444" wp14:editId="35641327">
                              <wp:simplePos x="0" y="0"/>
                              <wp:positionH relativeFrom="column">
                                <wp:posOffset>1095375</wp:posOffset>
                              </wp:positionH>
                              <wp:positionV relativeFrom="paragraph">
                                <wp:posOffset>1905</wp:posOffset>
                              </wp:positionV>
                              <wp:extent cx="4114800" cy="1128395"/>
                              <wp:effectExtent l="0" t="0" r="0" b="0"/>
                              <wp:wrapTopAndBottom/>
                              <wp:docPr id="3" name="Picture 3" descr="https://gallery.mailchimp.com/aa8bc22c1e4c23cbd1f9ae045/images/bf1cf03b-01a1-42ce-a1dd-12686bd5de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allery.mailchimp.com/aa8bc22c1e4c23cbd1f9ae045/images/bf1cf03b-01a1-42ce-a1dd-12686bd5de9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14800" cy="112839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444841D9" w14:textId="77777777" w:rsidR="00AE0E87" w:rsidRPr="00E40726" w:rsidRDefault="00AE0E87" w:rsidP="00AE0E87">
                  <w:pPr>
                    <w:spacing w:after="0" w:line="240" w:lineRule="auto"/>
                    <w:rPr>
                      <w:rFonts w:eastAsia="Times New Roman" w:cstheme="minorHAnsi"/>
                      <w:lang w:eastAsia="en-GB"/>
                    </w:rPr>
                  </w:pPr>
                </w:p>
              </w:tc>
            </w:tr>
          </w:tbl>
          <w:p w14:paraId="280EE106" w14:textId="77777777" w:rsidR="00AE0E87" w:rsidRPr="00E40726" w:rsidRDefault="00AE0E87" w:rsidP="00AE0E87">
            <w:pPr>
              <w:spacing w:after="0" w:line="240" w:lineRule="auto"/>
              <w:rPr>
                <w:rFonts w:eastAsia="Times New Roman" w:cstheme="minorHAnsi"/>
                <w:vanish/>
                <w:color w:val="000000"/>
                <w:lang w:eastAsia="en-GB"/>
              </w:rPr>
            </w:pPr>
          </w:p>
          <w:tbl>
            <w:tblPr>
              <w:tblW w:w="5000" w:type="pct"/>
              <w:tblCellMar>
                <w:left w:w="0" w:type="dxa"/>
                <w:right w:w="0" w:type="dxa"/>
              </w:tblCellMar>
              <w:tblLook w:val="04A0" w:firstRow="1" w:lastRow="0" w:firstColumn="1" w:lastColumn="0" w:noHBand="0" w:noVBand="1"/>
            </w:tblPr>
            <w:tblGrid>
              <w:gridCol w:w="10466"/>
            </w:tblGrid>
            <w:tr w:rsidR="00A90CB5" w:rsidRPr="00775ACD" w14:paraId="4BE9109F" w14:textId="77777777" w:rsidTr="005929E0">
              <w:trPr>
                <w:trHeight w:val="1735"/>
                <w:hidden/>
              </w:trPr>
              <w:tc>
                <w:tcPr>
                  <w:tcW w:w="0" w:type="auto"/>
                  <w:tcBorders>
                    <w:top w:val="nil"/>
                    <w:bottom w:val="nil"/>
                  </w:tcBorders>
                  <w:shd w:val="clear" w:color="auto" w:fill="FFFFFF"/>
                  <w:tcMar>
                    <w:top w:w="135" w:type="dxa"/>
                    <w:left w:w="135" w:type="dxa"/>
                    <w:bottom w:w="135" w:type="dxa"/>
                    <w:right w:w="135" w:type="dxa"/>
                  </w:tcMar>
                  <w:hideMark/>
                </w:tcPr>
                <w:p w14:paraId="494B8720" w14:textId="77777777" w:rsidR="00A90CB5" w:rsidRPr="00E40726" w:rsidRDefault="00A90CB5" w:rsidP="00A90CB5">
                  <w:pPr>
                    <w:spacing w:after="0" w:line="240" w:lineRule="auto"/>
                    <w:jc w:val="both"/>
                    <w:rPr>
                      <w:rFonts w:eastAsia="Times New Roman" w:cstheme="minorHAnsi"/>
                      <w:b/>
                      <w:vanish/>
                      <w:lang w:eastAsia="en-GB"/>
                    </w:rPr>
                  </w:pPr>
                </w:p>
                <w:tbl>
                  <w:tblPr>
                    <w:tblW w:w="5000" w:type="pct"/>
                    <w:tblCellMar>
                      <w:left w:w="0" w:type="dxa"/>
                      <w:right w:w="0" w:type="dxa"/>
                    </w:tblCellMar>
                    <w:tblLook w:val="04A0" w:firstRow="1" w:lastRow="0" w:firstColumn="1" w:lastColumn="0" w:noHBand="0" w:noVBand="1"/>
                  </w:tblPr>
                  <w:tblGrid>
                    <w:gridCol w:w="10196"/>
                  </w:tblGrid>
                  <w:tr w:rsidR="00A90CB5" w:rsidRPr="00E40726" w14:paraId="1806D5CB" w14:textId="77777777" w:rsidTr="005929E0">
                    <w:tc>
                      <w:tcPr>
                        <w:tcW w:w="0" w:type="auto"/>
                        <w:tcMar>
                          <w:top w:w="135" w:type="dxa"/>
                          <w:left w:w="0" w:type="dxa"/>
                          <w:bottom w:w="0" w:type="dxa"/>
                          <w:right w:w="0" w:type="dxa"/>
                        </w:tcMar>
                        <w:hideMark/>
                      </w:tcPr>
                      <w:p w14:paraId="2CCEE3D3" w14:textId="65F92E90" w:rsidR="00A90CB5" w:rsidRPr="00296998" w:rsidRDefault="00296998" w:rsidP="00296998">
                        <w:pPr>
                          <w:spacing w:after="0" w:line="240" w:lineRule="auto"/>
                          <w:jc w:val="center"/>
                          <w:rPr>
                            <w:rFonts w:eastAsia="Times New Roman" w:cstheme="minorHAnsi"/>
                            <w:b/>
                            <w:color w:val="595959" w:themeColor="text1" w:themeTint="A6"/>
                            <w:u w:val="single"/>
                            <w:lang w:eastAsia="en-GB"/>
                          </w:rPr>
                        </w:pPr>
                        <w:r w:rsidRPr="00296998">
                          <w:rPr>
                            <w:rFonts w:eastAsia="Times New Roman" w:cstheme="minorHAnsi"/>
                            <w:b/>
                            <w:color w:val="595959" w:themeColor="text1" w:themeTint="A6"/>
                            <w:u w:val="single"/>
                            <w:lang w:eastAsia="en-GB"/>
                          </w:rPr>
                          <w:t xml:space="preserve">TENANT FEE BAN </w:t>
                        </w:r>
                      </w:p>
                    </w:tc>
                  </w:tr>
                </w:tbl>
                <w:p w14:paraId="16813DB3" w14:textId="2CBE341C" w:rsidR="00A90CB5" w:rsidRPr="00E40726" w:rsidRDefault="00A90CB5" w:rsidP="00A90CB5">
                  <w:pPr>
                    <w:spacing w:after="0" w:line="240" w:lineRule="auto"/>
                    <w:jc w:val="both"/>
                    <w:rPr>
                      <w:rFonts w:eastAsia="Times New Roman" w:cstheme="minorHAnsi"/>
                      <w:b/>
                      <w:vanish/>
                      <w:lang w:eastAsia="en-GB"/>
                    </w:rPr>
                  </w:pPr>
                </w:p>
                <w:tbl>
                  <w:tblPr>
                    <w:tblW w:w="5000" w:type="pct"/>
                    <w:tblCellMar>
                      <w:left w:w="0" w:type="dxa"/>
                      <w:right w:w="0" w:type="dxa"/>
                    </w:tblCellMar>
                    <w:tblLook w:val="04A0" w:firstRow="1" w:lastRow="0" w:firstColumn="1" w:lastColumn="0" w:noHBand="0" w:noVBand="1"/>
                  </w:tblPr>
                  <w:tblGrid>
                    <w:gridCol w:w="10196"/>
                  </w:tblGrid>
                  <w:tr w:rsidR="00A90CB5" w:rsidRPr="00775ACD" w14:paraId="585308E8" w14:textId="77777777" w:rsidTr="005929E0">
                    <w:tc>
                      <w:tcPr>
                        <w:tcW w:w="0" w:type="auto"/>
                        <w:tcMar>
                          <w:top w:w="135" w:type="dxa"/>
                          <w:left w:w="0" w:type="dxa"/>
                          <w:bottom w:w="0" w:type="dxa"/>
                          <w:right w:w="0" w:type="dxa"/>
                        </w:tcMar>
                        <w:hideMark/>
                      </w:tcPr>
                      <w:p w14:paraId="05669AA4" w14:textId="77777777" w:rsidR="003E6229" w:rsidRPr="00E40726" w:rsidRDefault="003E6229">
                        <w:pPr>
                          <w:rPr>
                            <w:rFonts w:cstheme="minorHAnsi"/>
                            <w:b/>
                          </w:rPr>
                        </w:pPr>
                      </w:p>
                      <w:tbl>
                        <w:tblPr>
                          <w:tblpPr w:vertAnchor="text"/>
                          <w:tblW w:w="5000" w:type="pct"/>
                          <w:tblCellMar>
                            <w:left w:w="0" w:type="dxa"/>
                            <w:right w:w="0" w:type="dxa"/>
                          </w:tblCellMar>
                          <w:tblLook w:val="04A0" w:firstRow="1" w:lastRow="0" w:firstColumn="1" w:lastColumn="0" w:noHBand="0" w:noVBand="1"/>
                        </w:tblPr>
                        <w:tblGrid>
                          <w:gridCol w:w="10196"/>
                        </w:tblGrid>
                        <w:tr w:rsidR="00A90CB5" w:rsidRPr="00775ACD" w14:paraId="278B89A6" w14:textId="77777777" w:rsidTr="003E6229">
                          <w:tc>
                            <w:tcPr>
                              <w:tcW w:w="10196" w:type="dxa"/>
                              <w:hideMark/>
                            </w:tcPr>
                            <w:p w14:paraId="6FB171C6" w14:textId="1EBFF8CC" w:rsidR="003E6229" w:rsidRPr="00E40726" w:rsidRDefault="003E6229" w:rsidP="00716624">
                              <w:pPr>
                                <w:jc w:val="both"/>
                                <w:rPr>
                                  <w:rFonts w:cstheme="minorHAnsi"/>
                                  <w:b/>
                                  <w:color w:val="595959" w:themeColor="text1" w:themeTint="A6"/>
                                </w:rPr>
                              </w:pPr>
                              <w:r w:rsidRPr="00E40726">
                                <w:rPr>
                                  <w:rFonts w:cstheme="minorHAnsi"/>
                                  <w:b/>
                                  <w:color w:val="595959" w:themeColor="text1" w:themeTint="A6"/>
                                </w:rPr>
                                <w:t xml:space="preserve">This guide has been prepared by the team at Woodstock and is our interpretation of the Tenant Fees Act 2019 (“the Act”) read in conjunction with the Government Guide: The Tenant Fees Act 2019: Guidance for Landlords and Agents. </w:t>
                              </w:r>
                              <w:r w:rsidR="00E40726">
                                <w:rPr>
                                  <w:rFonts w:cstheme="minorHAnsi"/>
                                  <w:b/>
                                  <w:color w:val="595959" w:themeColor="text1" w:themeTint="A6"/>
                                </w:rPr>
                                <w:t xml:space="preserve"> There is also a guide for Tenants</w:t>
                              </w:r>
                              <w:r w:rsidR="001F18BD">
                                <w:rPr>
                                  <w:rFonts w:cstheme="minorHAnsi"/>
                                  <w:b/>
                                  <w:color w:val="595959" w:themeColor="text1" w:themeTint="A6"/>
                                </w:rPr>
                                <w:t xml:space="preserve"> and an Enforcement guide</w:t>
                              </w:r>
                              <w:r w:rsidR="00E40726">
                                <w:rPr>
                                  <w:rFonts w:cstheme="minorHAnsi"/>
                                  <w:b/>
                                  <w:color w:val="595959" w:themeColor="text1" w:themeTint="A6"/>
                                </w:rPr>
                                <w:t xml:space="preserve"> that we highly recommend you read. </w:t>
                              </w:r>
                            </w:p>
                            <w:p w14:paraId="3B5EB5EE" w14:textId="277C628B" w:rsidR="003E6229" w:rsidRPr="00E40726" w:rsidRDefault="003E6229" w:rsidP="00716624">
                              <w:pPr>
                                <w:jc w:val="both"/>
                                <w:rPr>
                                  <w:rFonts w:cstheme="minorHAnsi"/>
                                  <w:b/>
                                  <w:color w:val="595959" w:themeColor="text1" w:themeTint="A6"/>
                                </w:rPr>
                              </w:pPr>
                              <w:r w:rsidRPr="00E40726">
                                <w:rPr>
                                  <w:rFonts w:cstheme="minorHAnsi"/>
                                  <w:b/>
                                  <w:color w:val="595959" w:themeColor="text1" w:themeTint="A6"/>
                                </w:rPr>
                                <w:t xml:space="preserve">The </w:t>
                              </w:r>
                              <w:r w:rsidR="00716624" w:rsidRPr="00E40726">
                                <w:rPr>
                                  <w:rFonts w:cstheme="minorHAnsi"/>
                                  <w:b/>
                                  <w:color w:val="595959" w:themeColor="text1" w:themeTint="A6"/>
                                </w:rPr>
                                <w:t>Government Guide</w:t>
                              </w:r>
                              <w:r w:rsidR="00E40726">
                                <w:rPr>
                                  <w:rFonts w:cstheme="minorHAnsi"/>
                                  <w:b/>
                                  <w:color w:val="595959" w:themeColor="text1" w:themeTint="A6"/>
                                </w:rPr>
                                <w:t>s</w:t>
                              </w:r>
                              <w:r w:rsidR="00716624" w:rsidRPr="00E40726">
                                <w:rPr>
                                  <w:rFonts w:cstheme="minorHAnsi"/>
                                  <w:b/>
                                  <w:color w:val="595959" w:themeColor="text1" w:themeTint="A6"/>
                                </w:rPr>
                                <w:t xml:space="preserve"> </w:t>
                              </w:r>
                              <w:r w:rsidRPr="00E40726">
                                <w:rPr>
                                  <w:rFonts w:cstheme="minorHAnsi"/>
                                  <w:b/>
                                  <w:color w:val="595959" w:themeColor="text1" w:themeTint="A6"/>
                                </w:rPr>
                                <w:t xml:space="preserve">can be found at: </w:t>
                              </w:r>
                            </w:p>
                            <w:p w14:paraId="72D3CD0C" w14:textId="6FB5FBC3" w:rsidR="003E6229" w:rsidRPr="00E40726" w:rsidRDefault="00FF0D72" w:rsidP="00716624">
                              <w:pPr>
                                <w:jc w:val="both"/>
                                <w:rPr>
                                  <w:rStyle w:val="Hyperlink"/>
                                  <w:rFonts w:cstheme="minorHAnsi"/>
                                  <w:b/>
                                  <w:color w:val="595959" w:themeColor="text1" w:themeTint="A6"/>
                                </w:rPr>
                              </w:pPr>
                              <w:hyperlink r:id="rId10" w:history="1">
                                <w:r w:rsidR="003E6229" w:rsidRPr="00E40726">
                                  <w:rPr>
                                    <w:rStyle w:val="Hyperlink"/>
                                    <w:rFonts w:cstheme="minorHAnsi"/>
                                    <w:b/>
                                    <w:color w:val="595959" w:themeColor="text1" w:themeTint="A6"/>
                                  </w:rPr>
                                  <w:t>https://assets.publishing.service.gov.uk/government/uploads/system/uploads/attachment_data/file/791273/TFA_Guidance_for_LandlordsAgents.pdf</w:t>
                                </w:r>
                              </w:hyperlink>
                            </w:p>
                            <w:p w14:paraId="33886618" w14:textId="17E1E500" w:rsidR="00B573E2" w:rsidRDefault="00FF0D72" w:rsidP="00716624">
                              <w:pPr>
                                <w:jc w:val="both"/>
                                <w:rPr>
                                  <w:rStyle w:val="Hyperlink"/>
                                  <w:b/>
                                  <w:color w:val="595959" w:themeColor="text1" w:themeTint="A6"/>
                                </w:rPr>
                              </w:pPr>
                              <w:hyperlink r:id="rId11" w:history="1">
                                <w:r w:rsidR="00E40726" w:rsidRPr="00296998">
                                  <w:rPr>
                                    <w:rStyle w:val="Hyperlink"/>
                                    <w:b/>
                                    <w:color w:val="595959" w:themeColor="text1" w:themeTint="A6"/>
                                  </w:rPr>
                                  <w:t>https://assets.publishing.service.gov.uk/government/uploads/system/uploads/attachment_data/file/791280/TFA_Guidance_for_Tenants.pdf</w:t>
                                </w:r>
                              </w:hyperlink>
                            </w:p>
                            <w:p w14:paraId="1FEF90C3" w14:textId="44914B3A" w:rsidR="001F18BD" w:rsidRPr="001F18BD" w:rsidRDefault="00FF0D72" w:rsidP="00716624">
                              <w:pPr>
                                <w:jc w:val="both"/>
                              </w:pPr>
                              <w:hyperlink r:id="rId12" w:history="1">
                                <w:r w:rsidR="001F18BD">
                                  <w:rPr>
                                    <w:rStyle w:val="Hyperlink"/>
                                  </w:rPr>
                                  <w:t>https://assets.publishing.service.gov.uk/government/uploads/system/uploads/attachment_data/file/791276/TFA_Statutory_Enforcement_Guidance.pdf</w:t>
                                </w:r>
                              </w:hyperlink>
                            </w:p>
                            <w:p w14:paraId="5A30213C" w14:textId="77777777" w:rsidR="00E40726" w:rsidRPr="00E40726" w:rsidRDefault="00E40726" w:rsidP="00716624">
                              <w:pPr>
                                <w:jc w:val="both"/>
                                <w:rPr>
                                  <w:rFonts w:cstheme="minorHAnsi"/>
                                  <w:b/>
                                  <w:color w:val="595959" w:themeColor="text1" w:themeTint="A6"/>
                                </w:rPr>
                              </w:pPr>
                            </w:p>
                            <w:p w14:paraId="66B8A276" w14:textId="3DAF57E0" w:rsidR="003E6229" w:rsidRPr="00E40726" w:rsidRDefault="00E61C7E" w:rsidP="00716624">
                              <w:pPr>
                                <w:jc w:val="both"/>
                                <w:rPr>
                                  <w:rFonts w:cstheme="minorHAnsi"/>
                                  <w:b/>
                                  <w:color w:val="595959" w:themeColor="text1" w:themeTint="A6"/>
                                </w:rPr>
                              </w:pPr>
                              <w:r w:rsidRPr="00E40726">
                                <w:rPr>
                                  <w:rFonts w:cstheme="minorHAnsi"/>
                                  <w:b/>
                                  <w:color w:val="595959" w:themeColor="text1" w:themeTint="A6"/>
                                </w:rPr>
                                <w:t xml:space="preserve">The </w:t>
                              </w:r>
                              <w:r w:rsidR="003E6229" w:rsidRPr="00E40726">
                                <w:rPr>
                                  <w:rFonts w:cstheme="minorHAnsi"/>
                                  <w:b/>
                                  <w:color w:val="595959" w:themeColor="text1" w:themeTint="A6"/>
                                </w:rPr>
                                <w:t>legislation comes into effect on 1 June 2019.</w:t>
                              </w:r>
                              <w:r w:rsidRPr="00E40726">
                                <w:rPr>
                                  <w:rFonts w:cstheme="minorHAnsi"/>
                                  <w:b/>
                                  <w:color w:val="595959" w:themeColor="text1" w:themeTint="A6"/>
                                </w:rPr>
                                <w:t xml:space="preserve"> It is a very complex piece of law, therefore no doubt we will expect clarification on the interpretation once it is challenged through the courts. </w:t>
                              </w:r>
                              <w:r w:rsidR="00B573E2" w:rsidRPr="00E40726">
                                <w:rPr>
                                  <w:rFonts w:cstheme="minorHAnsi"/>
                                  <w:b/>
                                  <w:color w:val="595959" w:themeColor="text1" w:themeTint="A6"/>
                                </w:rPr>
                                <w:t xml:space="preserve">  This is not a definitive guide and is a general overview of the law that should not be taken as legal advice. If you require specific advice on a particular case or your processes, then please contact us and we will be happy to assist you. </w:t>
                              </w:r>
                            </w:p>
                            <w:p w14:paraId="73825327" w14:textId="77777777" w:rsidR="003E6229" w:rsidRPr="00E40726" w:rsidRDefault="003E6229">
                              <w:pPr>
                                <w:rPr>
                                  <w:rFonts w:cstheme="minorHAnsi"/>
                                  <w:b/>
                                </w:rPr>
                              </w:pPr>
                            </w:p>
                            <w:tbl>
                              <w:tblPr>
                                <w:tblpPr w:leftFromText="23" w:rightFromText="23" w:vertAnchor="text"/>
                                <w:tblW w:w="4866" w:type="pct"/>
                                <w:tblCellMar>
                                  <w:left w:w="0" w:type="dxa"/>
                                  <w:right w:w="0" w:type="dxa"/>
                                </w:tblCellMar>
                                <w:tblLook w:val="04A0" w:firstRow="1" w:lastRow="0" w:firstColumn="1" w:lastColumn="0" w:noHBand="0" w:noVBand="1"/>
                              </w:tblPr>
                              <w:tblGrid>
                                <w:gridCol w:w="9923"/>
                              </w:tblGrid>
                              <w:tr w:rsidR="00A90CB5" w:rsidRPr="00E40726" w14:paraId="07E2478B" w14:textId="77777777" w:rsidTr="00A90CB5">
                                <w:tc>
                                  <w:tcPr>
                                    <w:tcW w:w="5000" w:type="pct"/>
                                    <w:tcMar>
                                      <w:top w:w="0" w:type="dxa"/>
                                      <w:left w:w="270" w:type="dxa"/>
                                      <w:bottom w:w="135" w:type="dxa"/>
                                      <w:right w:w="270" w:type="dxa"/>
                                    </w:tcMar>
                                    <w:hideMark/>
                                  </w:tcPr>
                                  <w:p w14:paraId="58CBF0A2" w14:textId="28D0D86D" w:rsidR="005929E0" w:rsidRPr="00E40726" w:rsidRDefault="005929E0" w:rsidP="00A90CB5">
                                    <w:pPr>
                                      <w:spacing w:after="0" w:line="360" w:lineRule="auto"/>
                                      <w:jc w:val="both"/>
                                      <w:rPr>
                                        <w:rFonts w:eastAsia="Times New Roman" w:cstheme="minorHAnsi"/>
                                        <w:b/>
                                        <w:i/>
                                        <w:color w:val="00B0F0"/>
                                        <w:lang w:eastAsia="en-GB"/>
                                      </w:rPr>
                                    </w:pPr>
                                    <w:r w:rsidRPr="00E40726">
                                      <w:rPr>
                                        <w:rFonts w:eastAsia="Times New Roman" w:cstheme="minorHAnsi"/>
                                        <w:b/>
                                        <w:i/>
                                        <w:color w:val="00B0F0"/>
                                        <w:lang w:eastAsia="en-GB"/>
                                      </w:rPr>
                                      <w:t xml:space="preserve">When does the Tenant Fees Act </w:t>
                                    </w:r>
                                    <w:r w:rsidR="00716624" w:rsidRPr="00E40726">
                                      <w:rPr>
                                        <w:rFonts w:eastAsia="Times New Roman" w:cstheme="minorHAnsi"/>
                                        <w:b/>
                                        <w:i/>
                                        <w:color w:val="00B0F0"/>
                                        <w:lang w:eastAsia="en-GB"/>
                                      </w:rPr>
                                      <w:t>2019</w:t>
                                    </w:r>
                                    <w:r w:rsidRPr="00E40726">
                                      <w:rPr>
                                        <w:rFonts w:eastAsia="Times New Roman" w:cstheme="minorHAnsi"/>
                                        <w:b/>
                                        <w:i/>
                                        <w:color w:val="00B0F0"/>
                                        <w:lang w:eastAsia="en-GB"/>
                                      </w:rPr>
                                      <w:t xml:space="preserve"> come into force? </w:t>
                                    </w:r>
                                  </w:p>
                                  <w:p w14:paraId="66D9A2F1" w14:textId="77777777" w:rsidR="007D2212" w:rsidRPr="00E40726" w:rsidRDefault="007D2212" w:rsidP="00A90CB5">
                                    <w:pPr>
                                      <w:spacing w:after="0" w:line="360" w:lineRule="auto"/>
                                      <w:jc w:val="both"/>
                                      <w:rPr>
                                        <w:rFonts w:eastAsia="Times New Roman" w:cstheme="minorHAnsi"/>
                                        <w:b/>
                                        <w:color w:val="656565"/>
                                        <w:lang w:eastAsia="en-GB"/>
                                      </w:rPr>
                                    </w:pPr>
                                  </w:p>
                                  <w:p w14:paraId="0F71DD81" w14:textId="3DF6DE03" w:rsidR="007D2212" w:rsidRPr="00E40726" w:rsidRDefault="007D2212" w:rsidP="00A90CB5">
                                    <w:pPr>
                                      <w:spacing w:after="0" w:line="360" w:lineRule="auto"/>
                                      <w:jc w:val="both"/>
                                      <w:rPr>
                                        <w:rFonts w:eastAsia="Times New Roman" w:cstheme="minorHAnsi"/>
                                        <w:b/>
                                        <w:color w:val="656565"/>
                                        <w:lang w:eastAsia="en-GB"/>
                                      </w:rPr>
                                    </w:pPr>
                                    <w:r w:rsidRPr="00E40726">
                                      <w:rPr>
                                        <w:rFonts w:eastAsia="Times New Roman" w:cstheme="minorHAnsi"/>
                                        <w:b/>
                                        <w:color w:val="656565"/>
                                        <w:lang w:eastAsia="en-GB"/>
                                      </w:rPr>
                                      <w:t xml:space="preserve">The ban is being introduced in 2 stages – 1 June 2019 and </w:t>
                                    </w:r>
                                    <w:r w:rsidR="00E12271">
                                      <w:rPr>
                                        <w:rFonts w:eastAsia="Times New Roman" w:cstheme="minorHAnsi"/>
                                        <w:b/>
                                        <w:color w:val="656565"/>
                                        <w:lang w:eastAsia="en-GB"/>
                                      </w:rPr>
                                      <w:t>1 June 2020</w:t>
                                    </w:r>
                                    <w:r w:rsidRPr="00E40726">
                                      <w:rPr>
                                        <w:rFonts w:eastAsia="Times New Roman" w:cstheme="minorHAnsi"/>
                                        <w:b/>
                                        <w:color w:val="656565"/>
                                        <w:lang w:eastAsia="en-GB"/>
                                      </w:rPr>
                                      <w:t xml:space="preserve">. The time between is known as the transitionary period. </w:t>
                                    </w:r>
                                  </w:p>
                                  <w:p w14:paraId="7B4A21B2" w14:textId="77777777" w:rsidR="007D2212" w:rsidRPr="00E40726" w:rsidRDefault="007D2212" w:rsidP="00A90CB5">
                                    <w:pPr>
                                      <w:spacing w:after="0" w:line="360" w:lineRule="auto"/>
                                      <w:jc w:val="both"/>
                                      <w:rPr>
                                        <w:rFonts w:eastAsia="Times New Roman" w:cstheme="minorHAnsi"/>
                                        <w:b/>
                                        <w:color w:val="656565"/>
                                        <w:lang w:eastAsia="en-GB"/>
                                      </w:rPr>
                                    </w:pPr>
                                  </w:p>
                                  <w:p w14:paraId="38727F50" w14:textId="1377B34F" w:rsidR="007D2212" w:rsidRPr="00E40726" w:rsidRDefault="007D2212" w:rsidP="00A90CB5">
                                    <w:pPr>
                                      <w:spacing w:after="0" w:line="360" w:lineRule="auto"/>
                                      <w:jc w:val="both"/>
                                      <w:rPr>
                                        <w:rFonts w:eastAsia="Times New Roman" w:cstheme="minorHAnsi"/>
                                        <w:b/>
                                        <w:color w:val="656565"/>
                                        <w:lang w:eastAsia="en-GB"/>
                                      </w:rPr>
                                    </w:pPr>
                                    <w:r w:rsidRPr="00E40726">
                                      <w:rPr>
                                        <w:rFonts w:eastAsia="Times New Roman" w:cstheme="minorHAnsi"/>
                                        <w:b/>
                                        <w:color w:val="656565"/>
                                        <w:lang w:eastAsia="en-GB"/>
                                      </w:rPr>
                                      <w:t>The ban ap</w:t>
                                    </w:r>
                                    <w:r w:rsidR="00296998">
                                      <w:rPr>
                                        <w:rFonts w:eastAsia="Times New Roman" w:cstheme="minorHAnsi"/>
                                        <w:b/>
                                        <w:color w:val="656565"/>
                                        <w:lang w:eastAsia="en-GB"/>
                                      </w:rPr>
                                      <w:t>plies to all tenancies commenced</w:t>
                                    </w:r>
                                    <w:r w:rsidRPr="00E40726">
                                      <w:rPr>
                                        <w:rFonts w:eastAsia="Times New Roman" w:cstheme="minorHAnsi"/>
                                        <w:b/>
                                        <w:color w:val="656565"/>
                                        <w:lang w:eastAsia="en-GB"/>
                                      </w:rPr>
                                      <w:t xml:space="preserve"> after 1 June 2019. Agent and landlords do not have to pay back fees charged before 1 June 2019. Where a tenancy agreement was entered into before 1 June 2019 you can still charge fees until 31 May 2020 BUT only where these are required under an existing agreement – for example a fee to renew the fixed term or check out fees where the tenant has agreed to pay this fee. </w:t>
                                    </w:r>
                                  </w:p>
                                  <w:p w14:paraId="0B9B597C" w14:textId="77777777" w:rsidR="007D2212" w:rsidRPr="00E40726" w:rsidRDefault="007D2212" w:rsidP="00A90CB5">
                                    <w:pPr>
                                      <w:spacing w:after="0" w:line="360" w:lineRule="auto"/>
                                      <w:jc w:val="both"/>
                                      <w:rPr>
                                        <w:rFonts w:eastAsia="Times New Roman" w:cstheme="minorHAnsi"/>
                                        <w:b/>
                                        <w:color w:val="656565"/>
                                        <w:lang w:eastAsia="en-GB"/>
                                      </w:rPr>
                                    </w:pPr>
                                  </w:p>
                                  <w:p w14:paraId="1E4B4FB1" w14:textId="733B23CD" w:rsidR="007D2212" w:rsidRPr="00E40726" w:rsidRDefault="00E12271" w:rsidP="00A90CB5">
                                    <w:pPr>
                                      <w:spacing w:after="0" w:line="360" w:lineRule="auto"/>
                                      <w:jc w:val="both"/>
                                      <w:rPr>
                                        <w:rFonts w:cstheme="minorHAnsi"/>
                                        <w:b/>
                                        <w:color w:val="595959" w:themeColor="text1" w:themeTint="A6"/>
                                      </w:rPr>
                                    </w:pPr>
                                    <w:r>
                                      <w:rPr>
                                        <w:rFonts w:cstheme="minorHAnsi"/>
                                        <w:b/>
                                        <w:color w:val="595959" w:themeColor="text1" w:themeTint="A6"/>
                                      </w:rPr>
                                      <w:lastRenderedPageBreak/>
                                      <w:t xml:space="preserve">From </w:t>
                                    </w:r>
                                    <w:r w:rsidR="007D2212" w:rsidRPr="00E40726">
                                      <w:rPr>
                                        <w:rFonts w:cstheme="minorHAnsi"/>
                                        <w:b/>
                                        <w:color w:val="595959" w:themeColor="text1" w:themeTint="A6"/>
                                      </w:rPr>
                                      <w:t xml:space="preserve">1 June 2020, the ban will apply to all relevant tenancies and licences to occupy housing in the private rented sector. </w:t>
                                    </w:r>
                                  </w:p>
                                  <w:p w14:paraId="4663543B" w14:textId="77777777" w:rsidR="00BC0F24" w:rsidRPr="00E40726" w:rsidRDefault="00BC0F24" w:rsidP="00BC0F24">
                                    <w:pPr>
                                      <w:spacing w:after="0" w:line="360" w:lineRule="auto"/>
                                      <w:jc w:val="both"/>
                                      <w:rPr>
                                        <w:rFonts w:eastAsia="Times New Roman" w:cstheme="minorHAnsi"/>
                                        <w:b/>
                                        <w:color w:val="656565"/>
                                        <w:lang w:eastAsia="en-GB"/>
                                      </w:rPr>
                                    </w:pPr>
                                  </w:p>
                                  <w:p w14:paraId="6BA33FE9" w14:textId="16ACF0F7" w:rsidR="00BC0F24" w:rsidRPr="00E40726" w:rsidRDefault="001E4EF7" w:rsidP="00BC0F24">
                                    <w:pPr>
                                      <w:spacing w:after="0" w:line="360" w:lineRule="auto"/>
                                      <w:jc w:val="both"/>
                                      <w:rPr>
                                        <w:rFonts w:eastAsia="Times New Roman" w:cstheme="minorHAnsi"/>
                                        <w:b/>
                                        <w:color w:val="656565"/>
                                        <w:lang w:eastAsia="en-GB"/>
                                      </w:rPr>
                                    </w:pPr>
                                    <w:r w:rsidRPr="00E40726">
                                      <w:rPr>
                                        <w:rFonts w:eastAsia="Times New Roman" w:cstheme="minorHAnsi"/>
                                        <w:b/>
                                        <w:color w:val="656565"/>
                                        <w:lang w:eastAsia="en-GB"/>
                                      </w:rPr>
                                      <w:t>I</w:t>
                                    </w:r>
                                    <w:r w:rsidR="00BC0F24" w:rsidRPr="00E40726">
                                      <w:rPr>
                                        <w:rFonts w:eastAsia="Times New Roman" w:cstheme="minorHAnsi"/>
                                        <w:b/>
                                        <w:color w:val="656565"/>
                                        <w:lang w:eastAsia="en-GB"/>
                                      </w:rPr>
                                      <w:t xml:space="preserve">f a Landlord takes a payment after the 12 month date they will have to return the payment within </w:t>
                                    </w:r>
                                    <w:r w:rsidR="00BC0F24" w:rsidRPr="00E40726">
                                      <w:rPr>
                                        <w:rFonts w:eastAsia="Times New Roman" w:cstheme="minorHAnsi"/>
                                        <w:b/>
                                        <w:bCs/>
                                        <w:color w:val="656565"/>
                                        <w:lang w:eastAsia="en-GB"/>
                                      </w:rPr>
                                      <w:t>28 days</w:t>
                                    </w:r>
                                    <w:r w:rsidR="00BC0F24" w:rsidRPr="00E40726">
                                      <w:rPr>
                                        <w:rFonts w:eastAsia="Times New Roman" w:cstheme="minorHAnsi"/>
                                        <w:b/>
                                        <w:color w:val="656565"/>
                                        <w:lang w:eastAsia="en-GB"/>
                                      </w:rPr>
                                      <w:t xml:space="preserve"> or they will be in breach of the legislation.</w:t>
                                    </w:r>
                                  </w:p>
                                  <w:p w14:paraId="6F6E9332" w14:textId="78B1D1D6" w:rsidR="00A90CB5" w:rsidRPr="00E40726" w:rsidRDefault="00A90CB5" w:rsidP="00A90CB5">
                                    <w:pPr>
                                      <w:spacing w:after="0" w:line="360" w:lineRule="auto"/>
                                      <w:jc w:val="both"/>
                                      <w:rPr>
                                        <w:rFonts w:eastAsia="Times New Roman" w:cstheme="minorHAnsi"/>
                                        <w:b/>
                                        <w:bCs/>
                                        <w:color w:val="00B0F0"/>
                                        <w:lang w:eastAsia="en-GB"/>
                                      </w:rPr>
                                    </w:pPr>
                                    <w:r w:rsidRPr="00E40726">
                                      <w:rPr>
                                        <w:rFonts w:eastAsia="Times New Roman" w:cstheme="minorHAnsi"/>
                                        <w:b/>
                                        <w:color w:val="00B0F0"/>
                                        <w:lang w:eastAsia="en-GB"/>
                                      </w:rPr>
                                      <w:br/>
                                    </w:r>
                                    <w:r w:rsidRPr="00E40726">
                                      <w:rPr>
                                        <w:rFonts w:eastAsia="Times New Roman" w:cstheme="minorHAnsi"/>
                                        <w:b/>
                                        <w:bCs/>
                                        <w:i/>
                                        <w:color w:val="00B0F0"/>
                                        <w:lang w:eastAsia="en-GB"/>
                                      </w:rPr>
                                      <w:t>What is the aim of the legislation?</w:t>
                                    </w:r>
                                    <w:r w:rsidRPr="00E40726">
                                      <w:rPr>
                                        <w:rFonts w:eastAsia="Times New Roman" w:cstheme="minorHAnsi"/>
                                        <w:b/>
                                        <w:bCs/>
                                        <w:color w:val="00B0F0"/>
                                        <w:lang w:eastAsia="en-GB"/>
                                      </w:rPr>
                                      <w:t xml:space="preserve"> </w:t>
                                    </w:r>
                                  </w:p>
                                  <w:p w14:paraId="0011DAE1" w14:textId="398411DE" w:rsidR="00A90CB5" w:rsidRPr="00E40726" w:rsidRDefault="00A90CB5" w:rsidP="00A90CB5">
                                    <w:pPr>
                                      <w:spacing w:after="0" w:line="360" w:lineRule="auto"/>
                                      <w:jc w:val="both"/>
                                      <w:rPr>
                                        <w:rFonts w:eastAsia="Times New Roman" w:cstheme="minorHAnsi"/>
                                        <w:b/>
                                        <w:color w:val="656565"/>
                                        <w:lang w:eastAsia="en-GB"/>
                                      </w:rPr>
                                    </w:pPr>
                                    <w:r w:rsidRPr="00E40726">
                                      <w:rPr>
                                        <w:rFonts w:eastAsia="Times New Roman" w:cstheme="minorHAnsi"/>
                                        <w:b/>
                                        <w:color w:val="656565"/>
                                        <w:lang w:eastAsia="en-GB"/>
                                      </w:rPr>
                                      <w:t>To make renting properties in England fair and affordable for tenants by reducing the costs at the outset of the tenancy and improving transparency throughout.</w:t>
                                    </w:r>
                                  </w:p>
                                  <w:p w14:paraId="4806AB00" w14:textId="77777777" w:rsidR="00A90CB5" w:rsidRPr="00E40726" w:rsidRDefault="00A90CB5" w:rsidP="00A90CB5">
                                    <w:pPr>
                                      <w:spacing w:after="0" w:line="360" w:lineRule="auto"/>
                                      <w:rPr>
                                        <w:rFonts w:eastAsia="Times New Roman" w:cstheme="minorHAnsi"/>
                                        <w:b/>
                                        <w:bCs/>
                                        <w:i/>
                                        <w:color w:val="656565"/>
                                        <w:lang w:eastAsia="en-GB"/>
                                      </w:rPr>
                                    </w:pPr>
                                    <w:r w:rsidRPr="00E40726">
                                      <w:rPr>
                                        <w:rFonts w:eastAsia="Times New Roman" w:cstheme="minorHAnsi"/>
                                        <w:b/>
                                        <w:color w:val="656565"/>
                                        <w:lang w:eastAsia="en-GB"/>
                                      </w:rPr>
                                      <w:br/>
                                    </w:r>
                                    <w:r w:rsidRPr="00E40726">
                                      <w:rPr>
                                        <w:rFonts w:eastAsia="Times New Roman" w:cstheme="minorHAnsi"/>
                                        <w:b/>
                                        <w:bCs/>
                                        <w:i/>
                                        <w:color w:val="00B0F0"/>
                                        <w:lang w:eastAsia="en-GB"/>
                                      </w:rPr>
                                      <w:t xml:space="preserve">Who does the ban apply to? </w:t>
                                    </w:r>
                                  </w:p>
                                  <w:p w14:paraId="2623D749" w14:textId="77777777" w:rsidR="00BC0F24" w:rsidRPr="00E40726" w:rsidRDefault="00A90CB5" w:rsidP="00A90CB5">
                                    <w:pPr>
                                      <w:spacing w:after="0" w:line="360" w:lineRule="auto"/>
                                      <w:rPr>
                                        <w:rFonts w:eastAsia="Times New Roman" w:cstheme="minorHAnsi"/>
                                        <w:b/>
                                        <w:bCs/>
                                        <w:i/>
                                        <w:color w:val="656565"/>
                                        <w:lang w:eastAsia="en-GB"/>
                                      </w:rPr>
                                    </w:pPr>
                                    <w:r w:rsidRPr="00E40726">
                                      <w:rPr>
                                        <w:rFonts w:eastAsia="Times New Roman" w:cstheme="minorHAnsi"/>
                                        <w:b/>
                                        <w:color w:val="656565"/>
                                        <w:lang w:eastAsia="en-GB"/>
                                      </w:rPr>
                                      <w:t>The ban applies to both agents and landlords</w:t>
                                    </w:r>
                                    <w:r w:rsidRPr="00E40726">
                                      <w:rPr>
                                        <w:rFonts w:eastAsia="Times New Roman" w:cstheme="minorHAnsi"/>
                                        <w:b/>
                                        <w:color w:val="656565"/>
                                        <w:lang w:eastAsia="en-GB"/>
                                      </w:rPr>
                                      <w:br/>
                                      <w:t> </w:t>
                                    </w:r>
                                    <w:r w:rsidRPr="00E40726">
                                      <w:rPr>
                                        <w:rFonts w:eastAsia="Times New Roman" w:cstheme="minorHAnsi"/>
                                        <w:b/>
                                        <w:color w:val="656565"/>
                                        <w:lang w:eastAsia="en-GB"/>
                                      </w:rPr>
                                      <w:br/>
                                    </w:r>
                                    <w:r w:rsidRPr="00E40726">
                                      <w:rPr>
                                        <w:rFonts w:eastAsia="Times New Roman" w:cstheme="minorHAnsi"/>
                                        <w:b/>
                                        <w:bCs/>
                                        <w:i/>
                                        <w:color w:val="00B0F0"/>
                                        <w:lang w:eastAsia="en-GB"/>
                                      </w:rPr>
                                      <w:t>Where does the ban apply?</w:t>
                                    </w:r>
                                    <w:r w:rsidRPr="00E40726">
                                      <w:rPr>
                                        <w:rFonts w:eastAsia="Times New Roman" w:cstheme="minorHAnsi"/>
                                        <w:b/>
                                        <w:bCs/>
                                        <w:color w:val="00B0F0"/>
                                        <w:lang w:eastAsia="en-GB"/>
                                      </w:rPr>
                                      <w:t xml:space="preserve"> </w:t>
                                    </w:r>
                                    <w:r w:rsidRPr="00E40726">
                                      <w:rPr>
                                        <w:rFonts w:eastAsia="Times New Roman" w:cstheme="minorHAnsi"/>
                                        <w:b/>
                                        <w:color w:val="656565"/>
                                        <w:lang w:eastAsia="en-GB"/>
                                      </w:rPr>
                                      <w:br/>
                                      <w:t xml:space="preserve">Both England and Wales are passing their own versions of the legislation. This note focuses on England. </w:t>
                                    </w:r>
                                    <w:r w:rsidRPr="00E40726">
                                      <w:rPr>
                                        <w:rFonts w:eastAsia="Times New Roman" w:cstheme="minorHAnsi"/>
                                        <w:b/>
                                        <w:color w:val="656565"/>
                                        <w:lang w:eastAsia="en-GB"/>
                                      </w:rPr>
                                      <w:br/>
                                      <w:t> </w:t>
                                    </w:r>
                                    <w:r w:rsidRPr="00E40726">
                                      <w:rPr>
                                        <w:rFonts w:eastAsia="Times New Roman" w:cstheme="minorHAnsi"/>
                                        <w:b/>
                                        <w:color w:val="656565"/>
                                        <w:lang w:eastAsia="en-GB"/>
                                      </w:rPr>
                                      <w:br/>
                                    </w:r>
                                    <w:r w:rsidRPr="00E40726">
                                      <w:rPr>
                                        <w:rFonts w:eastAsia="Times New Roman" w:cstheme="minorHAnsi"/>
                                        <w:b/>
                                        <w:bCs/>
                                        <w:i/>
                                        <w:color w:val="00B0F0"/>
                                        <w:lang w:eastAsia="en-GB"/>
                                      </w:rPr>
                                      <w:t>What type of tenancy does this apply to?</w:t>
                                    </w:r>
                                  </w:p>
                                  <w:p w14:paraId="42DB00DC" w14:textId="59061A51" w:rsidR="00A90CB5" w:rsidRPr="00E40726" w:rsidRDefault="00A90CB5" w:rsidP="00A90CB5">
                                    <w:pPr>
                                      <w:spacing w:after="0" w:line="360" w:lineRule="auto"/>
                                      <w:rPr>
                                        <w:rFonts w:eastAsia="Times New Roman" w:cstheme="minorHAnsi"/>
                                        <w:b/>
                                        <w:color w:val="656565"/>
                                        <w:lang w:eastAsia="en-GB"/>
                                      </w:rPr>
                                    </w:pPr>
                                    <w:r w:rsidRPr="00E40726">
                                      <w:rPr>
                                        <w:rFonts w:eastAsia="Times New Roman" w:cstheme="minorHAnsi"/>
                                        <w:b/>
                                        <w:color w:val="656565"/>
                                        <w:lang w:eastAsia="en-GB"/>
                                      </w:rPr>
                                      <w:br/>
                                      <w:t>Assured shorthold tenancies and licences. </w:t>
                                    </w:r>
                                    <w:hyperlink r:id="rId13" w:history="1">
                                      <w:r w:rsidRPr="001F18BD">
                                        <w:rPr>
                                          <w:rFonts w:eastAsia="Times New Roman" w:cstheme="minorHAnsi"/>
                                          <w:b/>
                                          <w:color w:val="656565"/>
                                          <w:lang w:eastAsia="en-GB"/>
                                        </w:rPr>
                                        <w:t>Company lets</w:t>
                                      </w:r>
                                    </w:hyperlink>
                                    <w:r w:rsidRPr="001F18BD">
                                      <w:rPr>
                                        <w:rFonts w:eastAsia="Times New Roman" w:cstheme="minorHAnsi"/>
                                        <w:b/>
                                        <w:color w:val="656565"/>
                                        <w:lang w:eastAsia="en-GB"/>
                                      </w:rPr>
                                      <w:t> </w:t>
                                    </w:r>
                                    <w:r w:rsidR="00E61C7E" w:rsidRPr="001F18BD">
                                      <w:rPr>
                                        <w:rFonts w:eastAsia="Times New Roman" w:cstheme="minorHAnsi"/>
                                        <w:b/>
                                        <w:color w:val="656565"/>
                                        <w:lang w:eastAsia="en-GB"/>
                                      </w:rPr>
                                      <w:t xml:space="preserve"> </w:t>
                                    </w:r>
                                    <w:r w:rsidRPr="001F18BD">
                                      <w:rPr>
                                        <w:rFonts w:eastAsia="Times New Roman" w:cstheme="minorHAnsi"/>
                                        <w:b/>
                                        <w:color w:val="656565"/>
                                        <w:lang w:eastAsia="en-GB"/>
                                      </w:rPr>
                                      <w:t>are</w:t>
                                    </w:r>
                                    <w:r w:rsidRPr="00E40726">
                                      <w:rPr>
                                        <w:rFonts w:eastAsia="Times New Roman" w:cstheme="minorHAnsi"/>
                                        <w:b/>
                                        <w:color w:val="656565"/>
                                        <w:lang w:eastAsia="en-GB"/>
                                      </w:rPr>
                                      <w:t xml:space="preserve"> exemp</w:t>
                                    </w:r>
                                    <w:r w:rsidR="00E61C7E" w:rsidRPr="00E40726">
                                      <w:rPr>
                                        <w:rFonts w:eastAsia="Times New Roman" w:cstheme="minorHAnsi"/>
                                        <w:b/>
                                        <w:color w:val="656565"/>
                                        <w:lang w:eastAsia="en-GB"/>
                                      </w:rPr>
                                      <w:t xml:space="preserve">t. </w:t>
                                    </w:r>
                                    <w:r w:rsidRPr="00E40726">
                                      <w:rPr>
                                        <w:rFonts w:eastAsia="Times New Roman" w:cstheme="minorHAnsi"/>
                                        <w:b/>
                                        <w:color w:val="656565"/>
                                        <w:lang w:eastAsia="en-GB"/>
                                      </w:rPr>
                                      <w:br/>
                                    </w:r>
                                  </w:p>
                                  <w:p w14:paraId="66BCC193" w14:textId="3ED971C6" w:rsidR="00A90CB5" w:rsidRPr="00E40726" w:rsidRDefault="00A90CB5" w:rsidP="00A90CB5">
                                    <w:pPr>
                                      <w:spacing w:after="0" w:line="360" w:lineRule="auto"/>
                                      <w:jc w:val="both"/>
                                      <w:rPr>
                                        <w:rFonts w:eastAsia="Times New Roman" w:cstheme="minorHAnsi"/>
                                        <w:b/>
                                        <w:color w:val="656565"/>
                                        <w:lang w:eastAsia="en-GB"/>
                                      </w:rPr>
                                    </w:pPr>
                                    <w:r w:rsidRPr="00E40726">
                                      <w:rPr>
                                        <w:rFonts w:eastAsia="Times New Roman" w:cstheme="minorHAnsi"/>
                                        <w:b/>
                                        <w:color w:val="656565"/>
                                        <w:lang w:eastAsia="en-GB"/>
                                      </w:rPr>
                                      <w:t xml:space="preserve">The ban will apply to </w:t>
                                    </w:r>
                                    <w:r w:rsidRPr="00E40726">
                                      <w:rPr>
                                        <w:rFonts w:eastAsia="Times New Roman" w:cstheme="minorHAnsi"/>
                                        <w:b/>
                                        <w:bCs/>
                                        <w:color w:val="656565"/>
                                        <w:lang w:eastAsia="en-GB"/>
                                      </w:rPr>
                                      <w:t>renewals</w:t>
                                    </w:r>
                                    <w:r w:rsidRPr="00E40726">
                                      <w:rPr>
                                        <w:rFonts w:eastAsia="Times New Roman" w:cstheme="minorHAnsi"/>
                                        <w:b/>
                                        <w:color w:val="656565"/>
                                        <w:lang w:eastAsia="en-GB"/>
                                      </w:rPr>
                                      <w:t xml:space="preserve"> </w:t>
                                    </w:r>
                                    <w:r w:rsidR="005929E0" w:rsidRPr="00E40726">
                                      <w:rPr>
                                        <w:rFonts w:eastAsia="Times New Roman" w:cstheme="minorHAnsi"/>
                                        <w:b/>
                                        <w:color w:val="656565"/>
                                        <w:lang w:eastAsia="en-GB"/>
                                      </w:rPr>
                                      <w:t xml:space="preserve">after 1 June 2019 </w:t>
                                    </w:r>
                                    <w:r w:rsidRPr="00E40726">
                                      <w:rPr>
                                        <w:rFonts w:eastAsia="Times New Roman" w:cstheme="minorHAnsi"/>
                                        <w:b/>
                                        <w:color w:val="656565"/>
                                        <w:lang w:eastAsia="en-GB"/>
                                      </w:rPr>
                                      <w:t xml:space="preserve">but </w:t>
                                    </w:r>
                                    <w:r w:rsidRPr="00E40726">
                                      <w:rPr>
                                        <w:rFonts w:eastAsia="Times New Roman" w:cstheme="minorHAnsi"/>
                                        <w:b/>
                                        <w:bCs/>
                                        <w:color w:val="656565"/>
                                        <w:lang w:eastAsia="en-GB"/>
                                      </w:rPr>
                                      <w:t>not</w:t>
                                    </w:r>
                                    <w:r w:rsidRPr="00E40726">
                                      <w:rPr>
                                        <w:rFonts w:eastAsia="Times New Roman" w:cstheme="minorHAnsi"/>
                                        <w:b/>
                                        <w:color w:val="656565"/>
                                        <w:lang w:eastAsia="en-GB"/>
                                      </w:rPr>
                                      <w:t xml:space="preserve"> </w:t>
                                    </w:r>
                                    <w:r w:rsidRPr="00E40726">
                                      <w:rPr>
                                        <w:rFonts w:eastAsia="Times New Roman" w:cstheme="minorHAnsi"/>
                                        <w:b/>
                                        <w:bCs/>
                                        <w:color w:val="656565"/>
                                        <w:lang w:eastAsia="en-GB"/>
                                      </w:rPr>
                                      <w:t>statutory or contractual periodic tenancies</w:t>
                                    </w:r>
                                    <w:r w:rsidRPr="00E40726">
                                      <w:rPr>
                                        <w:rFonts w:eastAsia="Times New Roman" w:cstheme="minorHAnsi"/>
                                        <w:b/>
                                        <w:color w:val="656565"/>
                                        <w:lang w:eastAsia="en-GB"/>
                                      </w:rPr>
                                      <w:t xml:space="preserve">. So for all current fixed term ASTs that become periodic after 1 June 2019 the old rules continue to apply. All tenancies running as contractual periodic tenancy (no fixed term running on a month by month basis) then the old rules also continue to apply. However, after </w:t>
                                    </w:r>
                                    <w:r w:rsidRPr="00E40726">
                                      <w:rPr>
                                        <w:rFonts w:eastAsia="Times New Roman" w:cstheme="minorHAnsi"/>
                                        <w:b/>
                                        <w:bCs/>
                                        <w:color w:val="656565"/>
                                        <w:lang w:eastAsia="en-GB"/>
                                      </w:rPr>
                                      <w:t>12 months</w:t>
                                    </w:r>
                                    <w:r w:rsidRPr="00E40726">
                                      <w:rPr>
                                        <w:rFonts w:eastAsia="Times New Roman" w:cstheme="minorHAnsi"/>
                                        <w:b/>
                                        <w:color w:val="656565"/>
                                        <w:lang w:eastAsia="en-GB"/>
                                      </w:rPr>
                                      <w:t xml:space="preserve"> </w:t>
                                    </w:r>
                                    <w:r w:rsidR="005929E0" w:rsidRPr="00E40726">
                                      <w:rPr>
                                        <w:rFonts w:eastAsia="Times New Roman" w:cstheme="minorHAnsi"/>
                                        <w:b/>
                                        <w:color w:val="656565"/>
                                        <w:lang w:eastAsia="en-GB"/>
                                      </w:rPr>
                                      <w:t>(</w:t>
                                    </w:r>
                                    <w:r w:rsidR="00296998">
                                      <w:rPr>
                                        <w:rFonts w:eastAsia="Times New Roman" w:cstheme="minorHAnsi"/>
                                        <w:b/>
                                        <w:color w:val="656565"/>
                                        <w:lang w:eastAsia="en-GB"/>
                                      </w:rPr>
                                      <w:t xml:space="preserve">so </w:t>
                                    </w:r>
                                    <w:r w:rsidR="005929E0" w:rsidRPr="00E40726">
                                      <w:rPr>
                                        <w:rFonts w:eastAsia="Times New Roman" w:cstheme="minorHAnsi"/>
                                        <w:b/>
                                        <w:color w:val="656565"/>
                                        <w:lang w:eastAsia="en-GB"/>
                                      </w:rPr>
                                      <w:t xml:space="preserve">after 31 May 2020) </w:t>
                                    </w:r>
                                    <w:r w:rsidRPr="00E40726">
                                      <w:rPr>
                                        <w:rFonts w:eastAsia="Times New Roman" w:cstheme="minorHAnsi"/>
                                        <w:b/>
                                        <w:color w:val="656565"/>
                                        <w:lang w:eastAsia="en-GB"/>
                                      </w:rPr>
                                      <w:t xml:space="preserve">the ban will apply to </w:t>
                                    </w:r>
                                    <w:r w:rsidRPr="00E40726">
                                      <w:rPr>
                                        <w:rFonts w:eastAsia="Times New Roman" w:cstheme="minorHAnsi"/>
                                        <w:b/>
                                        <w:bCs/>
                                        <w:color w:val="656565"/>
                                        <w:lang w:eastAsia="en-GB"/>
                                      </w:rPr>
                                      <w:t>all existing tenancies</w:t>
                                    </w:r>
                                    <w:r w:rsidRPr="00E40726">
                                      <w:rPr>
                                        <w:rFonts w:eastAsia="Times New Roman" w:cstheme="minorHAnsi"/>
                                        <w:b/>
                                        <w:color w:val="656565"/>
                                        <w:lang w:eastAsia="en-GB"/>
                                      </w:rPr>
                                      <w:t xml:space="preserve"> and the charges imposed within the agreement will have no effect. </w:t>
                                    </w:r>
                                    <w:r w:rsidR="005929E0" w:rsidRPr="00E40726">
                                      <w:rPr>
                                        <w:rFonts w:eastAsia="Times New Roman" w:cstheme="minorHAnsi"/>
                                        <w:b/>
                                        <w:color w:val="656565"/>
                                        <w:lang w:eastAsia="en-GB"/>
                                      </w:rPr>
                                      <w:t xml:space="preserve"> </w:t>
                                    </w:r>
                                  </w:p>
                                  <w:p w14:paraId="1B1300B0" w14:textId="050C085E" w:rsidR="00A90CB5" w:rsidRPr="00E40726" w:rsidRDefault="00A90CB5" w:rsidP="00A90CB5">
                                    <w:pPr>
                                      <w:spacing w:after="0" w:line="360" w:lineRule="auto"/>
                                      <w:jc w:val="both"/>
                                      <w:rPr>
                                        <w:rFonts w:eastAsia="Times New Roman" w:cstheme="minorHAnsi"/>
                                        <w:b/>
                                        <w:bCs/>
                                        <w:i/>
                                        <w:color w:val="00B0F0"/>
                                        <w:lang w:eastAsia="en-GB"/>
                                      </w:rPr>
                                    </w:pPr>
                                    <w:r w:rsidRPr="00E40726">
                                      <w:rPr>
                                        <w:rFonts w:eastAsia="Times New Roman" w:cstheme="minorHAnsi"/>
                                        <w:b/>
                                        <w:color w:val="00B0F0"/>
                                        <w:lang w:eastAsia="en-GB"/>
                                      </w:rPr>
                                      <w:br/>
                                    </w:r>
                                    <w:r w:rsidRPr="00E40726">
                                      <w:rPr>
                                        <w:rFonts w:eastAsia="Times New Roman" w:cstheme="minorHAnsi"/>
                                        <w:b/>
                                        <w:bCs/>
                                        <w:i/>
                                        <w:color w:val="00B0F0"/>
                                        <w:lang w:eastAsia="en-GB"/>
                                      </w:rPr>
                                      <w:t xml:space="preserve">What fees are banned? </w:t>
                                    </w:r>
                                  </w:p>
                                  <w:p w14:paraId="477B2361" w14:textId="77777777" w:rsidR="005929E0" w:rsidRPr="00E40726" w:rsidRDefault="005929E0" w:rsidP="00A90CB5">
                                    <w:pPr>
                                      <w:spacing w:after="0" w:line="360" w:lineRule="auto"/>
                                      <w:jc w:val="both"/>
                                      <w:rPr>
                                        <w:rFonts w:eastAsia="Times New Roman" w:cstheme="minorHAnsi"/>
                                        <w:b/>
                                        <w:bCs/>
                                        <w:i/>
                                        <w:color w:val="656565"/>
                                        <w:lang w:eastAsia="en-GB"/>
                                      </w:rPr>
                                    </w:pPr>
                                  </w:p>
                                  <w:p w14:paraId="45BBE0B3" w14:textId="0354FB52" w:rsidR="009E2189" w:rsidRPr="00E40726" w:rsidRDefault="009E2189" w:rsidP="00A90CB5">
                                    <w:pPr>
                                      <w:spacing w:after="0" w:line="360" w:lineRule="auto"/>
                                      <w:jc w:val="both"/>
                                      <w:rPr>
                                        <w:rFonts w:eastAsia="Times New Roman" w:cstheme="minorHAnsi"/>
                                        <w:b/>
                                        <w:color w:val="656565"/>
                                        <w:lang w:eastAsia="en-GB"/>
                                      </w:rPr>
                                    </w:pPr>
                                    <w:r w:rsidRPr="00E40726">
                                      <w:rPr>
                                        <w:rFonts w:eastAsia="Times New Roman" w:cstheme="minorHAnsi"/>
                                        <w:b/>
                                        <w:bCs/>
                                        <w:i/>
                                        <w:color w:val="656565"/>
                                        <w:lang w:eastAsia="en-GB"/>
                                      </w:rPr>
                                      <w:t xml:space="preserve">The starting point is that all fees are banned unless they are exempt - </w:t>
                                    </w:r>
                                    <w:r w:rsidRPr="00E40726">
                                      <w:rPr>
                                        <w:rFonts w:eastAsia="Times New Roman" w:cstheme="minorHAnsi"/>
                                        <w:b/>
                                        <w:bCs/>
                                        <w:color w:val="656565"/>
                                        <w:lang w:eastAsia="en-GB"/>
                                      </w:rPr>
                                      <w:t>b</w:t>
                                    </w:r>
                                    <w:r w:rsidR="00A90CB5" w:rsidRPr="00E40726">
                                      <w:rPr>
                                        <w:rFonts w:eastAsia="Times New Roman" w:cstheme="minorHAnsi"/>
                                        <w:b/>
                                        <w:color w:val="656565"/>
                                        <w:lang w:eastAsia="en-GB"/>
                                      </w:rPr>
                                      <w:t xml:space="preserve">anned fees include </w:t>
                                    </w:r>
                                    <w:r w:rsidR="005929E0" w:rsidRPr="00E40726">
                                      <w:rPr>
                                        <w:rFonts w:eastAsia="Times New Roman" w:cstheme="minorHAnsi"/>
                                        <w:b/>
                                        <w:color w:val="656565"/>
                                        <w:lang w:eastAsia="en-GB"/>
                                      </w:rPr>
                                      <w:t xml:space="preserve">all </w:t>
                                    </w:r>
                                    <w:r w:rsidR="00A90CB5" w:rsidRPr="00E40726">
                                      <w:rPr>
                                        <w:rFonts w:eastAsia="Times New Roman" w:cstheme="minorHAnsi"/>
                                        <w:b/>
                                        <w:color w:val="656565"/>
                                        <w:lang w:eastAsia="en-GB"/>
                                      </w:rPr>
                                      <w:t xml:space="preserve">fees </w:t>
                                    </w:r>
                                    <w:r w:rsidR="005929E0" w:rsidRPr="00E40726">
                                      <w:rPr>
                                        <w:rFonts w:eastAsia="Times New Roman" w:cstheme="minorHAnsi"/>
                                        <w:b/>
                                        <w:color w:val="656565"/>
                                        <w:lang w:eastAsia="en-GB"/>
                                      </w:rPr>
                                      <w:t xml:space="preserve">that are </w:t>
                                    </w:r>
                                    <w:r w:rsidR="00A90CB5" w:rsidRPr="00E40726">
                                      <w:rPr>
                                        <w:rFonts w:eastAsia="Times New Roman" w:cstheme="minorHAnsi"/>
                                        <w:b/>
                                        <w:color w:val="656565"/>
                                        <w:lang w:eastAsia="en-GB"/>
                                      </w:rPr>
                                      <w:t xml:space="preserve">not exempt that the tenant (or someone acting on their behalf i.e. a parent or guarantor) is required to pay </w:t>
                                    </w:r>
                                    <w:r w:rsidR="00E109B6" w:rsidRPr="00E40726">
                                      <w:rPr>
                                        <w:rFonts w:eastAsia="Times New Roman" w:cstheme="minorHAnsi"/>
                                        <w:b/>
                                        <w:color w:val="656565"/>
                                        <w:lang w:eastAsia="en-GB"/>
                                      </w:rPr>
                                      <w:t>in connection wi</w:t>
                                    </w:r>
                                    <w:r w:rsidRPr="00E40726">
                                      <w:rPr>
                                        <w:rFonts w:eastAsia="Times New Roman" w:cstheme="minorHAnsi"/>
                                        <w:b/>
                                        <w:color w:val="656565"/>
                                        <w:lang w:eastAsia="en-GB"/>
                                      </w:rPr>
                                      <w:t xml:space="preserve">th the tenancy. As set out in the Government Guide, the ACT defines “in connection with a tenancy” as: </w:t>
                                    </w:r>
                                  </w:p>
                                  <w:p w14:paraId="6E8A0EC5" w14:textId="77777777" w:rsidR="009E2189" w:rsidRPr="00E40726" w:rsidRDefault="009E2189" w:rsidP="00A90CB5">
                                    <w:pPr>
                                      <w:spacing w:after="0" w:line="360" w:lineRule="auto"/>
                                      <w:jc w:val="both"/>
                                      <w:rPr>
                                        <w:rFonts w:eastAsia="Times New Roman" w:cstheme="minorHAnsi"/>
                                        <w:b/>
                                        <w:color w:val="656565"/>
                                        <w:lang w:eastAsia="en-GB"/>
                                      </w:rPr>
                                    </w:pPr>
                                  </w:p>
                                  <w:p w14:paraId="430E2C11" w14:textId="1B81AEB4" w:rsidR="00A90CB5" w:rsidRPr="00E40726" w:rsidRDefault="009E2189" w:rsidP="009E2189">
                                    <w:pPr>
                                      <w:pStyle w:val="ListParagraph"/>
                                      <w:numPr>
                                        <w:ilvl w:val="0"/>
                                        <w:numId w:val="12"/>
                                      </w:numPr>
                                      <w:spacing w:after="0" w:line="360" w:lineRule="auto"/>
                                      <w:jc w:val="both"/>
                                      <w:rPr>
                                        <w:rFonts w:eastAsia="Times New Roman" w:cstheme="minorHAnsi"/>
                                        <w:b/>
                                        <w:i/>
                                        <w:color w:val="656565"/>
                                        <w:lang w:eastAsia="en-GB"/>
                                      </w:rPr>
                                    </w:pPr>
                                    <w:r w:rsidRPr="00E40726">
                                      <w:rPr>
                                        <w:rFonts w:eastAsia="Times New Roman" w:cstheme="minorHAnsi"/>
                                        <w:b/>
                                        <w:i/>
                                        <w:color w:val="656565"/>
                                        <w:lang w:eastAsia="en-GB"/>
                                      </w:rPr>
                                      <w:t>Requirements</w:t>
                                    </w:r>
                                    <w:r w:rsidR="00E109B6" w:rsidRPr="00E40726">
                                      <w:rPr>
                                        <w:rFonts w:eastAsia="Times New Roman" w:cstheme="minorHAnsi"/>
                                        <w:b/>
                                        <w:i/>
                                        <w:color w:val="656565"/>
                                        <w:lang w:eastAsia="en-GB"/>
                                      </w:rPr>
                                      <w:t xml:space="preserve"> by a landlord or letting agent in consideration or on in consideration</w:t>
                                    </w:r>
                                    <w:r w:rsidRPr="00E40726">
                                      <w:rPr>
                                        <w:rFonts w:eastAsia="Times New Roman" w:cstheme="minorHAnsi"/>
                                        <w:b/>
                                        <w:i/>
                                        <w:color w:val="656565"/>
                                        <w:lang w:eastAsia="en-GB"/>
                                      </w:rPr>
                                      <w:t xml:space="preserve"> of arranging for the</w:t>
                                    </w:r>
                                    <w:r w:rsidR="00A90CB5" w:rsidRPr="00E40726">
                                      <w:rPr>
                                        <w:rFonts w:eastAsia="Times New Roman" w:cstheme="minorHAnsi"/>
                                        <w:b/>
                                        <w:i/>
                                        <w:color w:val="656565"/>
                                        <w:lang w:eastAsia="en-GB"/>
                                      </w:rPr>
                                      <w:t xml:space="preserve"> “</w:t>
                                    </w:r>
                                    <w:r w:rsidR="00A90CB5" w:rsidRPr="00E40726">
                                      <w:rPr>
                                        <w:rFonts w:eastAsia="Times New Roman" w:cstheme="minorHAnsi"/>
                                        <w:b/>
                                        <w:bCs/>
                                        <w:i/>
                                        <w:color w:val="656565"/>
                                        <w:lang w:eastAsia="en-GB"/>
                                      </w:rPr>
                                      <w:t xml:space="preserve">grant, </w:t>
                                    </w:r>
                                    <w:r w:rsidR="00E109B6" w:rsidRPr="00E40726">
                                      <w:rPr>
                                        <w:rFonts w:eastAsia="Times New Roman" w:cstheme="minorHAnsi"/>
                                        <w:b/>
                                        <w:bCs/>
                                        <w:i/>
                                        <w:color w:val="656565"/>
                                        <w:lang w:eastAsia="en-GB"/>
                                      </w:rPr>
                                      <w:t xml:space="preserve">renewal, </w:t>
                                    </w:r>
                                    <w:r w:rsidR="00A90CB5" w:rsidRPr="00E40726">
                                      <w:rPr>
                                        <w:rFonts w:eastAsia="Times New Roman" w:cstheme="minorHAnsi"/>
                                        <w:b/>
                                        <w:bCs/>
                                        <w:i/>
                                        <w:color w:val="656565"/>
                                        <w:lang w:eastAsia="en-GB"/>
                                      </w:rPr>
                                      <w:t xml:space="preserve">continuance, </w:t>
                                    </w:r>
                                    <w:r w:rsidR="00E109B6" w:rsidRPr="00E40726">
                                      <w:rPr>
                                        <w:rFonts w:eastAsia="Times New Roman" w:cstheme="minorHAnsi"/>
                                        <w:b/>
                                        <w:bCs/>
                                        <w:i/>
                                        <w:color w:val="656565"/>
                                        <w:lang w:eastAsia="en-GB"/>
                                      </w:rPr>
                                      <w:t>variation, assignment, novation or termination</w:t>
                                    </w:r>
                                    <w:r w:rsidR="00A90CB5" w:rsidRPr="00E40726">
                                      <w:rPr>
                                        <w:rFonts w:eastAsia="Times New Roman" w:cstheme="minorHAnsi"/>
                                        <w:b/>
                                        <w:bCs/>
                                        <w:i/>
                                        <w:color w:val="656565"/>
                                        <w:lang w:eastAsia="en-GB"/>
                                      </w:rPr>
                                      <w:t xml:space="preserve"> or renewal</w:t>
                                    </w:r>
                                    <w:r w:rsidR="00A90CB5" w:rsidRPr="00E40726">
                                      <w:rPr>
                                        <w:rFonts w:eastAsia="Times New Roman" w:cstheme="minorHAnsi"/>
                                        <w:b/>
                                        <w:i/>
                                        <w:color w:val="656565"/>
                                        <w:lang w:eastAsia="en-GB"/>
                                      </w:rPr>
                                      <w:t xml:space="preserve">” of an assured shorthold tenancy or licence </w:t>
                                    </w:r>
                                    <w:r w:rsidR="00A90CB5" w:rsidRPr="00E40726">
                                      <w:rPr>
                                        <w:rFonts w:eastAsia="Times New Roman" w:cstheme="minorHAnsi"/>
                                        <w:b/>
                                        <w:i/>
                                        <w:color w:val="595959" w:themeColor="text1" w:themeTint="A6"/>
                                        <w:lang w:eastAsia="en-GB"/>
                                      </w:rPr>
                                      <w:t>agreement</w:t>
                                    </w:r>
                                    <w:r w:rsidR="00A90CB5" w:rsidRPr="00E40726">
                                      <w:rPr>
                                        <w:rFonts w:eastAsia="Times New Roman" w:cstheme="minorHAnsi"/>
                                        <w:b/>
                                        <w:i/>
                                        <w:color w:val="656565"/>
                                        <w:lang w:eastAsia="en-GB"/>
                                      </w:rPr>
                                      <w:t>.</w:t>
                                    </w:r>
                                  </w:p>
                                  <w:p w14:paraId="6843483A" w14:textId="77777777" w:rsidR="009E2189" w:rsidRPr="00E40726" w:rsidRDefault="009E2189" w:rsidP="009E2189">
                                    <w:pPr>
                                      <w:pStyle w:val="ListParagraph"/>
                                      <w:numPr>
                                        <w:ilvl w:val="0"/>
                                        <w:numId w:val="12"/>
                                      </w:numPr>
                                      <w:spacing w:after="0" w:line="360" w:lineRule="auto"/>
                                      <w:jc w:val="both"/>
                                      <w:rPr>
                                        <w:rFonts w:eastAsia="Times New Roman" w:cstheme="minorHAnsi"/>
                                        <w:b/>
                                        <w:i/>
                                        <w:color w:val="656565"/>
                                        <w:lang w:eastAsia="en-GB"/>
                                      </w:rPr>
                                    </w:pPr>
                                    <w:r w:rsidRPr="00E40726">
                                      <w:rPr>
                                        <w:rFonts w:eastAsia="Times New Roman" w:cstheme="minorHAnsi"/>
                                        <w:b/>
                                        <w:i/>
                                        <w:color w:val="656565"/>
                                        <w:lang w:eastAsia="en-GB"/>
                                      </w:rPr>
                                      <w:t xml:space="preserve">On entry into a tenancy agreement, or an agreement relating to a tenancy with a letting agent, containing provisions requiring the tenant to do any of those things </w:t>
                                    </w:r>
                                  </w:p>
                                  <w:p w14:paraId="14D615EA" w14:textId="77777777" w:rsidR="009E2189" w:rsidRPr="00E40726" w:rsidRDefault="009E2189" w:rsidP="009E2189">
                                    <w:pPr>
                                      <w:pStyle w:val="ListParagraph"/>
                                      <w:numPr>
                                        <w:ilvl w:val="0"/>
                                        <w:numId w:val="12"/>
                                      </w:numPr>
                                      <w:spacing w:after="0" w:line="360" w:lineRule="auto"/>
                                      <w:jc w:val="both"/>
                                      <w:rPr>
                                        <w:rFonts w:eastAsia="Times New Roman" w:cstheme="minorHAnsi"/>
                                        <w:b/>
                                        <w:i/>
                                        <w:color w:val="656565"/>
                                        <w:lang w:eastAsia="en-GB"/>
                                      </w:rPr>
                                    </w:pPr>
                                    <w:r w:rsidRPr="00E40726">
                                      <w:rPr>
                                        <w:rFonts w:eastAsia="Times New Roman" w:cstheme="minorHAnsi"/>
                                        <w:b/>
                                        <w:i/>
                                        <w:color w:val="656565"/>
                                        <w:lang w:eastAsia="en-GB"/>
                                      </w:rPr>
                                      <w:t xml:space="preserve">pursuant to a provision of a tenancy agreement, or pursuant to an agreement relating to a tenancy with a letting agent, which requires or purports to require the person to do any of those things in the event of an act or default of the person or if the tenancy is varied, assigned, novated or terminated; and  </w:t>
                                    </w:r>
                                  </w:p>
                                  <w:p w14:paraId="0B5F93D2" w14:textId="77777777" w:rsidR="009E2189" w:rsidRPr="00E40726" w:rsidRDefault="009E2189" w:rsidP="009E2189">
                                    <w:pPr>
                                      <w:pStyle w:val="ListParagraph"/>
                                      <w:numPr>
                                        <w:ilvl w:val="0"/>
                                        <w:numId w:val="12"/>
                                      </w:numPr>
                                      <w:spacing w:after="0" w:line="360" w:lineRule="auto"/>
                                      <w:jc w:val="both"/>
                                      <w:rPr>
                                        <w:rFonts w:eastAsia="Times New Roman" w:cstheme="minorHAnsi"/>
                                        <w:b/>
                                        <w:i/>
                                        <w:color w:val="656565"/>
                                        <w:lang w:eastAsia="en-GB"/>
                                      </w:rPr>
                                    </w:pPr>
                                    <w:r w:rsidRPr="00E40726">
                                      <w:rPr>
                                        <w:rFonts w:eastAsia="Times New Roman" w:cstheme="minorHAnsi"/>
                                        <w:b/>
                                        <w:i/>
                                        <w:color w:val="656565"/>
                                        <w:lang w:eastAsia="en-GB"/>
                                      </w:rPr>
                                      <w:t xml:space="preserve">as a result of an act or default related to the tenancy unless pursuant to, or for breach of, a tenancy agreement, or an agreement relating to a tenancy with a letting agent; and  </w:t>
                                    </w:r>
                                  </w:p>
                                  <w:p w14:paraId="5E6A9579" w14:textId="75D7353C" w:rsidR="009E2189" w:rsidRPr="00E40726" w:rsidRDefault="009E2189" w:rsidP="009E2189">
                                    <w:pPr>
                                      <w:pStyle w:val="ListParagraph"/>
                                      <w:numPr>
                                        <w:ilvl w:val="0"/>
                                        <w:numId w:val="12"/>
                                      </w:numPr>
                                      <w:spacing w:after="0" w:line="360" w:lineRule="auto"/>
                                      <w:jc w:val="both"/>
                                      <w:rPr>
                                        <w:rFonts w:eastAsia="Times New Roman" w:cstheme="minorHAnsi"/>
                                        <w:b/>
                                        <w:i/>
                                        <w:color w:val="656565"/>
                                        <w:lang w:eastAsia="en-GB"/>
                                      </w:rPr>
                                    </w:pPr>
                                    <w:r w:rsidRPr="00E40726">
                                      <w:rPr>
                                        <w:rFonts w:eastAsia="Times New Roman" w:cstheme="minorHAnsi"/>
                                        <w:b/>
                                        <w:i/>
                                        <w:color w:val="656565"/>
                                        <w:lang w:eastAsia="en-GB"/>
                                      </w:rPr>
                                      <w:t xml:space="preserve">in consideration of providing a reference for a former tenant. </w:t>
                                    </w:r>
                                  </w:p>
                                  <w:p w14:paraId="11BD50A2" w14:textId="5C224631" w:rsidR="00A90CB5" w:rsidRPr="00E40726" w:rsidRDefault="00A90CB5" w:rsidP="00A90CB5">
                                    <w:pPr>
                                      <w:spacing w:after="0" w:line="360" w:lineRule="auto"/>
                                      <w:jc w:val="both"/>
                                      <w:rPr>
                                        <w:rFonts w:eastAsia="Times New Roman" w:cstheme="minorHAnsi"/>
                                        <w:b/>
                                        <w:color w:val="656565"/>
                                        <w:lang w:eastAsia="en-GB"/>
                                      </w:rPr>
                                    </w:pPr>
                                    <w:r w:rsidRPr="00E40726">
                                      <w:rPr>
                                        <w:rFonts w:eastAsia="Times New Roman" w:cstheme="minorHAnsi"/>
                                        <w:b/>
                                        <w:color w:val="656565"/>
                                        <w:lang w:eastAsia="en-GB"/>
                                      </w:rPr>
                                      <w:br/>
                                      <w:t>Examples</w:t>
                                    </w:r>
                                    <w:r w:rsidR="005929E0" w:rsidRPr="00E40726">
                                      <w:rPr>
                                        <w:rFonts w:eastAsia="Times New Roman" w:cstheme="minorHAnsi"/>
                                        <w:b/>
                                        <w:color w:val="656565"/>
                                        <w:lang w:eastAsia="en-GB"/>
                                      </w:rPr>
                                      <w:t xml:space="preserve"> </w:t>
                                    </w:r>
                                    <w:r w:rsidR="009E2189" w:rsidRPr="00E40726">
                                      <w:rPr>
                                        <w:rFonts w:eastAsia="Times New Roman" w:cstheme="minorHAnsi"/>
                                        <w:b/>
                                        <w:color w:val="656565"/>
                                        <w:lang w:eastAsia="en-GB"/>
                                      </w:rPr>
                                      <w:t xml:space="preserve">of banned fees </w:t>
                                    </w:r>
                                    <w:r w:rsidR="005929E0" w:rsidRPr="00E40726">
                                      <w:rPr>
                                        <w:rFonts w:eastAsia="Times New Roman" w:cstheme="minorHAnsi"/>
                                        <w:b/>
                                        <w:color w:val="656565"/>
                                        <w:lang w:eastAsia="en-GB"/>
                                      </w:rPr>
                                      <w:t>include</w:t>
                                    </w:r>
                                    <w:r w:rsidRPr="00E40726">
                                      <w:rPr>
                                        <w:rFonts w:eastAsia="Times New Roman" w:cstheme="minorHAnsi"/>
                                        <w:b/>
                                        <w:color w:val="656565"/>
                                        <w:lang w:eastAsia="en-GB"/>
                                      </w:rPr>
                                      <w:t xml:space="preserve">: </w:t>
                                    </w:r>
                                  </w:p>
                                  <w:p w14:paraId="26CB2321" w14:textId="77777777" w:rsidR="00A90CB5" w:rsidRPr="00E40726" w:rsidRDefault="00A90CB5" w:rsidP="00A90CB5">
                                    <w:pPr>
                                      <w:spacing w:after="0" w:line="360" w:lineRule="auto"/>
                                      <w:jc w:val="both"/>
                                      <w:rPr>
                                        <w:rFonts w:eastAsia="Times New Roman" w:cstheme="minorHAnsi"/>
                                        <w:b/>
                                        <w:color w:val="656565"/>
                                        <w:lang w:eastAsia="en-GB"/>
                                      </w:rPr>
                                    </w:pPr>
                                    <w:r w:rsidRPr="00E40726">
                                      <w:rPr>
                                        <w:rFonts w:eastAsia="Times New Roman" w:cstheme="minorHAnsi"/>
                                        <w:b/>
                                        <w:color w:val="656565"/>
                                        <w:lang w:eastAsia="en-GB"/>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15"/>
                                      <w:gridCol w:w="4515"/>
                                    </w:tblGrid>
                                    <w:tr w:rsidR="00A90CB5" w:rsidRPr="00E40726" w14:paraId="6F1DC25B" w14:textId="77777777" w:rsidTr="005929E0">
                                      <w:tc>
                                        <w:tcPr>
                                          <w:tcW w:w="4515" w:type="dxa"/>
                                          <w:tcBorders>
                                            <w:top w:val="outset" w:sz="6" w:space="0" w:color="auto"/>
                                            <w:left w:val="outset" w:sz="6" w:space="0" w:color="auto"/>
                                            <w:bottom w:val="outset" w:sz="6" w:space="0" w:color="auto"/>
                                            <w:right w:val="outset" w:sz="6" w:space="0" w:color="auto"/>
                                          </w:tcBorders>
                                          <w:vAlign w:val="center"/>
                                          <w:hideMark/>
                                        </w:tcPr>
                                        <w:p w14:paraId="5A0F7F61" w14:textId="11FAB664" w:rsidR="00A90CB5" w:rsidRPr="00E40726" w:rsidRDefault="001E4EF7" w:rsidP="00A90CB5">
                                          <w:pPr>
                                            <w:spacing w:after="0" w:line="240" w:lineRule="auto"/>
                                            <w:jc w:val="both"/>
                                            <w:rPr>
                                              <w:rFonts w:eastAsia="Times New Roman" w:cstheme="minorHAnsi"/>
                                              <w:b/>
                                              <w:color w:val="595959" w:themeColor="text1" w:themeTint="A6"/>
                                              <w:lang w:eastAsia="en-GB"/>
                                            </w:rPr>
                                          </w:pPr>
                                          <w:r w:rsidRPr="00E40726">
                                            <w:rPr>
                                              <w:rFonts w:eastAsia="Times New Roman" w:cstheme="minorHAnsi"/>
                                              <w:b/>
                                              <w:color w:val="595959" w:themeColor="text1" w:themeTint="A6"/>
                                              <w:lang w:eastAsia="en-GB"/>
                                            </w:rPr>
                                            <w:t xml:space="preserve">Tenancy set up: </w:t>
                                          </w:r>
                                        </w:p>
                                      </w:tc>
                                      <w:tc>
                                        <w:tcPr>
                                          <w:tcW w:w="4515" w:type="dxa"/>
                                          <w:tcBorders>
                                            <w:top w:val="outset" w:sz="6" w:space="0" w:color="auto"/>
                                            <w:left w:val="outset" w:sz="6" w:space="0" w:color="auto"/>
                                            <w:bottom w:val="outset" w:sz="6" w:space="0" w:color="auto"/>
                                            <w:right w:val="outset" w:sz="6" w:space="0" w:color="auto"/>
                                          </w:tcBorders>
                                          <w:vAlign w:val="center"/>
                                          <w:hideMark/>
                                        </w:tcPr>
                                        <w:p w14:paraId="1F9696A4" w14:textId="0F128EDA" w:rsidR="00A90CB5" w:rsidRPr="00E40726" w:rsidRDefault="001E4EF7" w:rsidP="00A90CB5">
                                          <w:pPr>
                                            <w:spacing w:after="0" w:line="240" w:lineRule="auto"/>
                                            <w:jc w:val="both"/>
                                            <w:rPr>
                                              <w:rFonts w:eastAsia="Times New Roman" w:cstheme="minorHAnsi"/>
                                              <w:b/>
                                              <w:color w:val="595959" w:themeColor="text1" w:themeTint="A6"/>
                                              <w:lang w:eastAsia="en-GB"/>
                                            </w:rPr>
                                          </w:pPr>
                                          <w:r w:rsidRPr="00E40726">
                                            <w:rPr>
                                              <w:rFonts w:eastAsia="Times New Roman" w:cstheme="minorHAnsi"/>
                                              <w:b/>
                                              <w:color w:val="595959" w:themeColor="text1" w:themeTint="A6"/>
                                              <w:lang w:eastAsia="en-GB"/>
                                            </w:rPr>
                                            <w:t xml:space="preserve">During the tenancy: </w:t>
                                          </w:r>
                                        </w:p>
                                      </w:tc>
                                    </w:tr>
                                    <w:tr w:rsidR="00A90CB5" w:rsidRPr="00E40726" w14:paraId="2B0191C3" w14:textId="77777777" w:rsidTr="005929E0">
                                      <w:tc>
                                        <w:tcPr>
                                          <w:tcW w:w="4515" w:type="dxa"/>
                                          <w:tcBorders>
                                            <w:top w:val="outset" w:sz="6" w:space="0" w:color="auto"/>
                                            <w:left w:val="outset" w:sz="6" w:space="0" w:color="auto"/>
                                            <w:bottom w:val="outset" w:sz="6" w:space="0" w:color="auto"/>
                                            <w:right w:val="outset" w:sz="6" w:space="0" w:color="auto"/>
                                          </w:tcBorders>
                                          <w:vAlign w:val="center"/>
                                          <w:hideMark/>
                                        </w:tcPr>
                                        <w:p w14:paraId="63B60069" w14:textId="77777777" w:rsidR="00A90CB5" w:rsidRPr="00E40726" w:rsidRDefault="00A90CB5" w:rsidP="00A90CB5">
                                          <w:pPr>
                                            <w:numPr>
                                              <w:ilvl w:val="0"/>
                                              <w:numId w:val="1"/>
                                            </w:numPr>
                                            <w:spacing w:before="100" w:beforeAutospacing="1" w:after="100" w:afterAutospacing="1" w:line="240" w:lineRule="auto"/>
                                            <w:jc w:val="both"/>
                                            <w:rPr>
                                              <w:rFonts w:eastAsia="Times New Roman" w:cstheme="minorHAnsi"/>
                                              <w:b/>
                                              <w:color w:val="595959" w:themeColor="text1" w:themeTint="A6"/>
                                              <w:lang w:eastAsia="en-GB"/>
                                            </w:rPr>
                                          </w:pPr>
                                          <w:r w:rsidRPr="00E40726">
                                            <w:rPr>
                                              <w:rFonts w:eastAsia="Times New Roman" w:cstheme="minorHAnsi"/>
                                              <w:b/>
                                              <w:color w:val="595959" w:themeColor="text1" w:themeTint="A6"/>
                                              <w:lang w:eastAsia="en-GB"/>
                                            </w:rPr>
                                            <w:t>  Credit checks</w:t>
                                          </w:r>
                                        </w:p>
                                        <w:p w14:paraId="583AB6F3" w14:textId="77777777" w:rsidR="00A90CB5" w:rsidRPr="00E40726" w:rsidRDefault="00A90CB5" w:rsidP="00A90CB5">
                                          <w:pPr>
                                            <w:numPr>
                                              <w:ilvl w:val="0"/>
                                              <w:numId w:val="1"/>
                                            </w:numPr>
                                            <w:spacing w:before="100" w:beforeAutospacing="1" w:after="100" w:afterAutospacing="1" w:line="240" w:lineRule="auto"/>
                                            <w:jc w:val="both"/>
                                            <w:rPr>
                                              <w:rFonts w:eastAsia="Times New Roman" w:cstheme="minorHAnsi"/>
                                              <w:b/>
                                              <w:color w:val="595959" w:themeColor="text1" w:themeTint="A6"/>
                                              <w:lang w:eastAsia="en-GB"/>
                                            </w:rPr>
                                          </w:pPr>
                                          <w:r w:rsidRPr="00E40726">
                                            <w:rPr>
                                              <w:rFonts w:eastAsia="Times New Roman" w:cstheme="minorHAnsi"/>
                                              <w:b/>
                                              <w:color w:val="595959" w:themeColor="text1" w:themeTint="A6"/>
                                              <w:lang w:eastAsia="en-GB"/>
                                            </w:rPr>
                                            <w:t>  Referencing</w:t>
                                          </w:r>
                                        </w:p>
                                        <w:p w14:paraId="5F897D50" w14:textId="77777777" w:rsidR="00A90CB5" w:rsidRPr="00E40726" w:rsidRDefault="00A90CB5" w:rsidP="00A90CB5">
                                          <w:pPr>
                                            <w:numPr>
                                              <w:ilvl w:val="0"/>
                                              <w:numId w:val="1"/>
                                            </w:numPr>
                                            <w:spacing w:before="100" w:beforeAutospacing="1" w:after="100" w:afterAutospacing="1" w:line="240" w:lineRule="auto"/>
                                            <w:jc w:val="both"/>
                                            <w:rPr>
                                              <w:rFonts w:eastAsia="Times New Roman" w:cstheme="minorHAnsi"/>
                                              <w:b/>
                                              <w:color w:val="595959" w:themeColor="text1" w:themeTint="A6"/>
                                              <w:lang w:eastAsia="en-GB"/>
                                            </w:rPr>
                                          </w:pPr>
                                          <w:r w:rsidRPr="00E40726">
                                            <w:rPr>
                                              <w:rFonts w:eastAsia="Times New Roman" w:cstheme="minorHAnsi"/>
                                              <w:b/>
                                              <w:color w:val="595959" w:themeColor="text1" w:themeTint="A6"/>
                                              <w:lang w:eastAsia="en-GB"/>
                                            </w:rPr>
                                            <w:t>  Inventories</w:t>
                                          </w:r>
                                        </w:p>
                                        <w:p w14:paraId="0C508236" w14:textId="77777777" w:rsidR="001E4EF7" w:rsidRPr="00E40726" w:rsidRDefault="00A90CB5" w:rsidP="001E4EF7">
                                          <w:pPr>
                                            <w:numPr>
                                              <w:ilvl w:val="0"/>
                                              <w:numId w:val="1"/>
                                            </w:numPr>
                                            <w:spacing w:before="100" w:beforeAutospacing="1" w:after="100" w:afterAutospacing="1" w:line="240" w:lineRule="auto"/>
                                            <w:jc w:val="both"/>
                                            <w:rPr>
                                              <w:rFonts w:eastAsia="Times New Roman" w:cstheme="minorHAnsi"/>
                                              <w:b/>
                                              <w:color w:val="595959" w:themeColor="text1" w:themeTint="A6"/>
                                              <w:lang w:eastAsia="en-GB"/>
                                            </w:rPr>
                                          </w:pPr>
                                          <w:r w:rsidRPr="00E40726">
                                            <w:rPr>
                                              <w:rFonts w:eastAsia="Times New Roman" w:cstheme="minorHAnsi"/>
                                              <w:b/>
                                              <w:color w:val="595959" w:themeColor="text1" w:themeTint="A6"/>
                                              <w:lang w:eastAsia="en-GB"/>
                                            </w:rPr>
                                            <w:t>  Guarantor forms</w:t>
                                          </w:r>
                                        </w:p>
                                        <w:p w14:paraId="3D821CD3" w14:textId="5008F593" w:rsidR="001E4EF7" w:rsidRPr="00E40726" w:rsidRDefault="00296998" w:rsidP="001E4EF7">
                                          <w:pPr>
                                            <w:numPr>
                                              <w:ilvl w:val="0"/>
                                              <w:numId w:val="1"/>
                                            </w:numPr>
                                            <w:spacing w:before="100" w:beforeAutospacing="1" w:after="100" w:afterAutospacing="1" w:line="240" w:lineRule="auto"/>
                                            <w:jc w:val="both"/>
                                            <w:rPr>
                                              <w:rFonts w:eastAsia="Times New Roman" w:cstheme="minorHAnsi"/>
                                              <w:b/>
                                              <w:color w:val="595959" w:themeColor="text1" w:themeTint="A6"/>
                                              <w:lang w:eastAsia="en-GB"/>
                                            </w:rPr>
                                          </w:pPr>
                                          <w:r>
                                            <w:rPr>
                                              <w:rFonts w:eastAsia="Times New Roman" w:cstheme="minorHAnsi"/>
                                              <w:b/>
                                              <w:color w:val="595959" w:themeColor="text1" w:themeTint="A6"/>
                                              <w:lang w:eastAsia="en-GB"/>
                                            </w:rPr>
                                            <w:t xml:space="preserve">  </w:t>
                                          </w:r>
                                          <w:r w:rsidR="00BF601F" w:rsidRPr="00E40726">
                                            <w:rPr>
                                              <w:rFonts w:eastAsia="Times New Roman" w:cstheme="minorHAnsi"/>
                                              <w:b/>
                                              <w:color w:val="595959" w:themeColor="text1" w:themeTint="A6"/>
                                              <w:lang w:eastAsia="en-GB"/>
                                            </w:rPr>
                                            <w:t>F</w:t>
                                          </w:r>
                                          <w:r w:rsidR="00FD5186" w:rsidRPr="00E40726">
                                            <w:rPr>
                                              <w:rFonts w:eastAsia="Times New Roman" w:cstheme="minorHAnsi"/>
                                              <w:b/>
                                              <w:color w:val="595959" w:themeColor="text1" w:themeTint="A6"/>
                                              <w:lang w:eastAsia="en-GB"/>
                                            </w:rPr>
                                            <w:t>ront-loaded</w:t>
                                          </w:r>
                                          <w:r w:rsidR="001E4EF7" w:rsidRPr="00E40726">
                                            <w:rPr>
                                              <w:rFonts w:eastAsia="Times New Roman" w:cstheme="minorHAnsi"/>
                                              <w:b/>
                                              <w:color w:val="595959" w:themeColor="text1" w:themeTint="A6"/>
                                              <w:lang w:eastAsia="en-GB"/>
                                            </w:rPr>
                                            <w:t xml:space="preserve"> rent </w:t>
                                          </w:r>
                                        </w:p>
                                        <w:p w14:paraId="38995BA0" w14:textId="02C1EAF0" w:rsidR="00BF601F" w:rsidRPr="00E40726" w:rsidRDefault="00296998" w:rsidP="001E4EF7">
                                          <w:pPr>
                                            <w:numPr>
                                              <w:ilvl w:val="0"/>
                                              <w:numId w:val="1"/>
                                            </w:numPr>
                                            <w:spacing w:before="100" w:beforeAutospacing="1" w:after="100" w:afterAutospacing="1" w:line="240" w:lineRule="auto"/>
                                            <w:jc w:val="both"/>
                                            <w:rPr>
                                              <w:rFonts w:eastAsia="Times New Roman" w:cstheme="minorHAnsi"/>
                                              <w:b/>
                                              <w:color w:val="595959" w:themeColor="text1" w:themeTint="A6"/>
                                              <w:lang w:eastAsia="en-GB"/>
                                            </w:rPr>
                                          </w:pPr>
                                          <w:r>
                                            <w:rPr>
                                              <w:rFonts w:eastAsia="Times New Roman" w:cstheme="minorHAnsi"/>
                                              <w:b/>
                                              <w:color w:val="595959" w:themeColor="text1" w:themeTint="A6"/>
                                              <w:lang w:eastAsia="en-GB"/>
                                            </w:rPr>
                                            <w:t xml:space="preserve">  </w:t>
                                          </w:r>
                                          <w:r w:rsidR="00BF601F" w:rsidRPr="00E40726">
                                            <w:rPr>
                                              <w:rFonts w:eastAsia="Times New Roman" w:cstheme="minorHAnsi"/>
                                              <w:b/>
                                              <w:color w:val="595959" w:themeColor="text1" w:themeTint="A6"/>
                                              <w:lang w:eastAsia="en-GB"/>
                                            </w:rPr>
                                            <w:t xml:space="preserve">Viewing fees </w:t>
                                          </w:r>
                                        </w:p>
                                      </w:tc>
                                      <w:tc>
                                        <w:tcPr>
                                          <w:tcW w:w="4515" w:type="dxa"/>
                                          <w:tcBorders>
                                            <w:top w:val="outset" w:sz="6" w:space="0" w:color="auto"/>
                                            <w:left w:val="outset" w:sz="6" w:space="0" w:color="auto"/>
                                            <w:bottom w:val="outset" w:sz="6" w:space="0" w:color="auto"/>
                                            <w:right w:val="outset" w:sz="6" w:space="0" w:color="auto"/>
                                          </w:tcBorders>
                                          <w:vAlign w:val="center"/>
                                          <w:hideMark/>
                                        </w:tcPr>
                                        <w:p w14:paraId="6E5CE2BD" w14:textId="77777777" w:rsidR="00A90CB5" w:rsidRPr="00E40726" w:rsidRDefault="00A90CB5" w:rsidP="00A90CB5">
                                          <w:pPr>
                                            <w:numPr>
                                              <w:ilvl w:val="0"/>
                                              <w:numId w:val="2"/>
                                            </w:numPr>
                                            <w:spacing w:before="100" w:beforeAutospacing="1" w:after="100" w:afterAutospacing="1" w:line="240" w:lineRule="auto"/>
                                            <w:jc w:val="both"/>
                                            <w:rPr>
                                              <w:rFonts w:eastAsia="Times New Roman" w:cstheme="minorHAnsi"/>
                                              <w:b/>
                                              <w:color w:val="595959" w:themeColor="text1" w:themeTint="A6"/>
                                              <w:lang w:eastAsia="en-GB"/>
                                            </w:rPr>
                                          </w:pPr>
                                          <w:r w:rsidRPr="00E40726">
                                            <w:rPr>
                                              <w:rFonts w:eastAsia="Times New Roman" w:cstheme="minorHAnsi"/>
                                              <w:b/>
                                              <w:color w:val="595959" w:themeColor="text1" w:themeTint="A6"/>
                                              <w:lang w:eastAsia="en-GB"/>
                                            </w:rPr>
                                            <w:t>Professional cleaning</w:t>
                                          </w:r>
                                        </w:p>
                                        <w:p w14:paraId="7C734FC9" w14:textId="1DB9046B" w:rsidR="00A90CB5" w:rsidRPr="00E40726" w:rsidRDefault="00A90CB5" w:rsidP="00A90CB5">
                                          <w:pPr>
                                            <w:numPr>
                                              <w:ilvl w:val="0"/>
                                              <w:numId w:val="2"/>
                                            </w:numPr>
                                            <w:spacing w:before="100" w:beforeAutospacing="1" w:after="100" w:afterAutospacing="1" w:line="240" w:lineRule="auto"/>
                                            <w:jc w:val="both"/>
                                            <w:rPr>
                                              <w:rFonts w:eastAsia="Times New Roman" w:cstheme="minorHAnsi"/>
                                              <w:b/>
                                              <w:color w:val="595959" w:themeColor="text1" w:themeTint="A6"/>
                                              <w:lang w:eastAsia="en-GB"/>
                                            </w:rPr>
                                          </w:pPr>
                                          <w:r w:rsidRPr="00E40726">
                                            <w:rPr>
                                              <w:rFonts w:eastAsia="Times New Roman" w:cstheme="minorHAnsi"/>
                                              <w:b/>
                                              <w:color w:val="595959" w:themeColor="text1" w:themeTint="A6"/>
                                              <w:lang w:eastAsia="en-GB"/>
                                            </w:rPr>
                                            <w:t xml:space="preserve">De-fleeing the property as a “condition” </w:t>
                                          </w:r>
                                          <w:r w:rsidR="00296998">
                                            <w:rPr>
                                              <w:rFonts w:eastAsia="Times New Roman" w:cstheme="minorHAnsi"/>
                                              <w:b/>
                                              <w:color w:val="595959" w:themeColor="text1" w:themeTint="A6"/>
                                              <w:lang w:eastAsia="en-GB"/>
                                            </w:rPr>
                                            <w:t xml:space="preserve"> </w:t>
                                          </w:r>
                                          <w:r w:rsidRPr="00E40726">
                                            <w:rPr>
                                              <w:rFonts w:eastAsia="Times New Roman" w:cstheme="minorHAnsi"/>
                                              <w:b/>
                                              <w:color w:val="595959" w:themeColor="text1" w:themeTint="A6"/>
                                              <w:lang w:eastAsia="en-GB"/>
                                            </w:rPr>
                                            <w:t>of agreeing to allow pets at the property</w:t>
                                          </w:r>
                                        </w:p>
                                        <w:p w14:paraId="32871A63" w14:textId="3C658556" w:rsidR="00BF601F" w:rsidRPr="00E40726" w:rsidRDefault="00A90CB5" w:rsidP="00BF601F">
                                          <w:pPr>
                                            <w:numPr>
                                              <w:ilvl w:val="0"/>
                                              <w:numId w:val="2"/>
                                            </w:numPr>
                                            <w:spacing w:before="100" w:beforeAutospacing="1" w:after="100" w:afterAutospacing="1" w:line="240" w:lineRule="auto"/>
                                            <w:jc w:val="both"/>
                                            <w:rPr>
                                              <w:rFonts w:eastAsia="Times New Roman" w:cstheme="minorHAnsi"/>
                                              <w:b/>
                                              <w:color w:val="595959" w:themeColor="text1" w:themeTint="A6"/>
                                              <w:lang w:eastAsia="en-GB"/>
                                            </w:rPr>
                                          </w:pPr>
                                          <w:r w:rsidRPr="00E40726">
                                            <w:rPr>
                                              <w:rFonts w:eastAsia="Times New Roman" w:cstheme="minorHAnsi"/>
                                              <w:b/>
                                              <w:color w:val="595959" w:themeColor="text1" w:themeTint="A6"/>
                                              <w:lang w:eastAsia="en-GB"/>
                                            </w:rPr>
                                            <w:t>Gardening services</w:t>
                                          </w:r>
                                        </w:p>
                                        <w:p w14:paraId="6EC8DE35" w14:textId="7275EA28" w:rsidR="00BF601F" w:rsidRPr="00E40726" w:rsidRDefault="00BF601F" w:rsidP="00BF601F">
                                          <w:pPr>
                                            <w:numPr>
                                              <w:ilvl w:val="0"/>
                                              <w:numId w:val="2"/>
                                            </w:numPr>
                                            <w:spacing w:before="100" w:beforeAutospacing="1" w:after="100" w:afterAutospacing="1" w:line="240" w:lineRule="auto"/>
                                            <w:jc w:val="both"/>
                                            <w:rPr>
                                              <w:rFonts w:eastAsia="Times New Roman" w:cstheme="minorHAnsi"/>
                                              <w:b/>
                                              <w:color w:val="595959" w:themeColor="text1" w:themeTint="A6"/>
                                              <w:lang w:eastAsia="en-GB"/>
                                            </w:rPr>
                                          </w:pPr>
                                          <w:r w:rsidRPr="00E40726">
                                            <w:rPr>
                                              <w:rFonts w:eastAsia="Times New Roman" w:cstheme="minorHAnsi"/>
                                              <w:b/>
                                              <w:color w:val="595959" w:themeColor="text1" w:themeTint="A6"/>
                                              <w:lang w:eastAsia="en-GB"/>
                                            </w:rPr>
                                            <w:t>Chimney Sweep</w:t>
                                          </w:r>
                                        </w:p>
                                      </w:tc>
                                    </w:tr>
                                    <w:tr w:rsidR="00E109B6" w:rsidRPr="00E40726" w14:paraId="6B6DBE8B" w14:textId="77777777" w:rsidTr="00E109B6">
                                      <w:tc>
                                        <w:tcPr>
                                          <w:tcW w:w="4515" w:type="dxa"/>
                                          <w:tcBorders>
                                            <w:top w:val="outset" w:sz="6" w:space="0" w:color="auto"/>
                                            <w:left w:val="outset" w:sz="6" w:space="0" w:color="auto"/>
                                            <w:bottom w:val="outset" w:sz="6" w:space="0" w:color="auto"/>
                                            <w:right w:val="outset" w:sz="6" w:space="0" w:color="auto"/>
                                          </w:tcBorders>
                                        </w:tcPr>
                                        <w:p w14:paraId="16477CD6" w14:textId="13C70F34" w:rsidR="00E109B6" w:rsidRPr="00296998" w:rsidRDefault="00E109B6" w:rsidP="00E109B6">
                                          <w:pPr>
                                            <w:spacing w:before="100" w:beforeAutospacing="1" w:after="100" w:afterAutospacing="1" w:line="240" w:lineRule="auto"/>
                                            <w:ind w:left="720"/>
                                            <w:jc w:val="both"/>
                                            <w:rPr>
                                              <w:rFonts w:eastAsia="Times New Roman" w:cstheme="minorHAnsi"/>
                                              <w:b/>
                                              <w:color w:val="595959" w:themeColor="text1" w:themeTint="A6"/>
                                              <w:lang w:eastAsia="en-GB"/>
                                            </w:rPr>
                                          </w:pPr>
                                          <w:r w:rsidRPr="00296998">
                                            <w:rPr>
                                              <w:rFonts w:cstheme="minorHAnsi"/>
                                              <w:b/>
                                              <w:color w:val="595959" w:themeColor="text1" w:themeTint="A6"/>
                                            </w:rPr>
                                            <w:t>RENEWAL</w:t>
                                          </w:r>
                                        </w:p>
                                      </w:tc>
                                      <w:tc>
                                        <w:tcPr>
                                          <w:tcW w:w="4515" w:type="dxa"/>
                                          <w:tcBorders>
                                            <w:top w:val="outset" w:sz="6" w:space="0" w:color="auto"/>
                                            <w:left w:val="outset" w:sz="6" w:space="0" w:color="auto"/>
                                            <w:bottom w:val="outset" w:sz="6" w:space="0" w:color="auto"/>
                                            <w:right w:val="outset" w:sz="6" w:space="0" w:color="auto"/>
                                          </w:tcBorders>
                                        </w:tcPr>
                                        <w:p w14:paraId="4F8CE659" w14:textId="569EF363" w:rsidR="00E109B6" w:rsidRPr="00296998" w:rsidRDefault="00E109B6" w:rsidP="00E109B6">
                                          <w:pPr>
                                            <w:spacing w:before="100" w:beforeAutospacing="1" w:after="100" w:afterAutospacing="1" w:line="240" w:lineRule="auto"/>
                                            <w:ind w:left="360"/>
                                            <w:jc w:val="both"/>
                                            <w:rPr>
                                              <w:rFonts w:eastAsia="Times New Roman" w:cstheme="minorHAnsi"/>
                                              <w:b/>
                                              <w:color w:val="595959" w:themeColor="text1" w:themeTint="A6"/>
                                              <w:lang w:eastAsia="en-GB"/>
                                            </w:rPr>
                                          </w:pPr>
                                          <w:r w:rsidRPr="00296998">
                                            <w:rPr>
                                              <w:rFonts w:cstheme="minorHAnsi"/>
                                              <w:b/>
                                              <w:color w:val="595959" w:themeColor="text1" w:themeTint="A6"/>
                                            </w:rPr>
                                            <w:t>TERMINATION</w:t>
                                          </w:r>
                                        </w:p>
                                      </w:tc>
                                    </w:tr>
                                    <w:tr w:rsidR="00E109B6" w:rsidRPr="00E40726" w14:paraId="33175C5E" w14:textId="77777777" w:rsidTr="00E109B6">
                                      <w:tc>
                                        <w:tcPr>
                                          <w:tcW w:w="4515" w:type="dxa"/>
                                          <w:tcBorders>
                                            <w:top w:val="outset" w:sz="6" w:space="0" w:color="auto"/>
                                            <w:left w:val="outset" w:sz="6" w:space="0" w:color="auto"/>
                                            <w:bottom w:val="outset" w:sz="6" w:space="0" w:color="auto"/>
                                            <w:right w:val="outset" w:sz="6" w:space="0" w:color="auto"/>
                                          </w:tcBorders>
                                        </w:tcPr>
                                        <w:p w14:paraId="0AA8C36C" w14:textId="2AEC1155" w:rsidR="00E109B6" w:rsidRPr="00296998" w:rsidRDefault="00E109B6" w:rsidP="00E109B6">
                                          <w:pPr>
                                            <w:numPr>
                                              <w:ilvl w:val="0"/>
                                              <w:numId w:val="3"/>
                                            </w:numPr>
                                            <w:spacing w:before="100" w:beforeAutospacing="1" w:after="100" w:afterAutospacing="1" w:line="240" w:lineRule="auto"/>
                                            <w:jc w:val="both"/>
                                            <w:rPr>
                                              <w:rFonts w:eastAsia="Times New Roman" w:cstheme="minorHAnsi"/>
                                              <w:b/>
                                              <w:color w:val="595959" w:themeColor="text1" w:themeTint="A6"/>
                                              <w:lang w:eastAsia="en-GB"/>
                                            </w:rPr>
                                          </w:pPr>
                                          <w:r w:rsidRPr="00296998">
                                            <w:rPr>
                                              <w:rFonts w:cstheme="minorHAnsi"/>
                                              <w:b/>
                                              <w:color w:val="595959" w:themeColor="text1" w:themeTint="A6"/>
                                            </w:rPr>
                                            <w:t>Tenancy renewal fee</w:t>
                                          </w:r>
                                        </w:p>
                                      </w:tc>
                                      <w:tc>
                                        <w:tcPr>
                                          <w:tcW w:w="4515" w:type="dxa"/>
                                          <w:tcBorders>
                                            <w:top w:val="outset" w:sz="6" w:space="0" w:color="auto"/>
                                            <w:left w:val="outset" w:sz="6" w:space="0" w:color="auto"/>
                                            <w:bottom w:val="outset" w:sz="6" w:space="0" w:color="auto"/>
                                            <w:right w:val="outset" w:sz="6" w:space="0" w:color="auto"/>
                                          </w:tcBorders>
                                        </w:tcPr>
                                        <w:p w14:paraId="4BC37344" w14:textId="5DEB3DFB" w:rsidR="00E109B6" w:rsidRPr="00296998" w:rsidRDefault="00E109B6" w:rsidP="00E109B6">
                                          <w:pPr>
                                            <w:numPr>
                                              <w:ilvl w:val="0"/>
                                              <w:numId w:val="4"/>
                                            </w:numPr>
                                            <w:spacing w:before="100" w:beforeAutospacing="1" w:after="100" w:afterAutospacing="1" w:line="240" w:lineRule="auto"/>
                                            <w:jc w:val="both"/>
                                            <w:rPr>
                                              <w:rFonts w:eastAsia="Times New Roman" w:cstheme="minorHAnsi"/>
                                              <w:b/>
                                              <w:color w:val="595959" w:themeColor="text1" w:themeTint="A6"/>
                                              <w:lang w:eastAsia="en-GB"/>
                                            </w:rPr>
                                          </w:pPr>
                                          <w:r w:rsidRPr="00296998">
                                            <w:rPr>
                                              <w:rFonts w:cstheme="minorHAnsi"/>
                                              <w:b/>
                                              <w:color w:val="595959" w:themeColor="text1" w:themeTint="A6"/>
                                            </w:rPr>
                                            <w:t>Deed of Surrender other than for loss of rent during a void period.</w:t>
                                          </w:r>
                                        </w:p>
                                        <w:p w14:paraId="075DC33B" w14:textId="4726BA3E" w:rsidR="00BF601F" w:rsidRPr="00296998" w:rsidRDefault="00296998" w:rsidP="00E109B6">
                                          <w:pPr>
                                            <w:numPr>
                                              <w:ilvl w:val="0"/>
                                              <w:numId w:val="4"/>
                                            </w:numPr>
                                            <w:spacing w:before="100" w:beforeAutospacing="1" w:after="100" w:afterAutospacing="1" w:line="240" w:lineRule="auto"/>
                                            <w:jc w:val="both"/>
                                            <w:rPr>
                                              <w:rFonts w:eastAsia="Times New Roman" w:cstheme="minorHAnsi"/>
                                              <w:b/>
                                              <w:color w:val="595959" w:themeColor="text1" w:themeTint="A6"/>
                                              <w:lang w:eastAsia="en-GB"/>
                                            </w:rPr>
                                          </w:pPr>
                                          <w:r>
                                            <w:rPr>
                                              <w:rFonts w:cstheme="minorHAnsi"/>
                                              <w:b/>
                                              <w:color w:val="595959" w:themeColor="text1" w:themeTint="A6"/>
                                            </w:rPr>
                                            <w:t>C</w:t>
                                          </w:r>
                                          <w:r w:rsidR="00BF601F" w:rsidRPr="00296998">
                                            <w:rPr>
                                              <w:rFonts w:cstheme="minorHAnsi"/>
                                              <w:b/>
                                              <w:color w:val="595959" w:themeColor="text1" w:themeTint="A6"/>
                                            </w:rPr>
                                            <w:t>heck out fee</w:t>
                                          </w:r>
                                        </w:p>
                                      </w:tc>
                                    </w:tr>
                                  </w:tbl>
                                  <w:p w14:paraId="04814053" w14:textId="77777777" w:rsidR="009E2189" w:rsidRDefault="00A90CB5" w:rsidP="00A90CB5">
                                    <w:pPr>
                                      <w:spacing w:after="0" w:line="360" w:lineRule="auto"/>
                                      <w:rPr>
                                        <w:rFonts w:eastAsia="Times New Roman" w:cstheme="minorHAnsi"/>
                                        <w:b/>
                                        <w:bCs/>
                                        <w:i/>
                                        <w:color w:val="656565"/>
                                        <w:lang w:eastAsia="en-GB"/>
                                      </w:rPr>
                                    </w:pPr>
                                    <w:r w:rsidRPr="00E40726">
                                      <w:rPr>
                                        <w:rFonts w:eastAsia="Times New Roman" w:cstheme="minorHAnsi"/>
                                        <w:b/>
                                        <w:color w:val="656565"/>
                                        <w:lang w:eastAsia="en-GB"/>
                                      </w:rPr>
                                      <w:t> </w:t>
                                    </w:r>
                                    <w:r w:rsidRPr="00E40726">
                                      <w:rPr>
                                        <w:rFonts w:eastAsia="Times New Roman" w:cstheme="minorHAnsi"/>
                                        <w:b/>
                                        <w:color w:val="656565"/>
                                        <w:lang w:eastAsia="en-GB"/>
                                      </w:rPr>
                                      <w:br/>
                                    </w:r>
                                  </w:p>
                                  <w:p w14:paraId="36EE8DF9" w14:textId="77777777" w:rsidR="00E12271" w:rsidRDefault="00E12271" w:rsidP="00A90CB5">
                                    <w:pPr>
                                      <w:spacing w:after="0" w:line="360" w:lineRule="auto"/>
                                      <w:rPr>
                                        <w:rFonts w:eastAsia="Times New Roman" w:cstheme="minorHAnsi"/>
                                        <w:b/>
                                        <w:bCs/>
                                        <w:i/>
                                        <w:color w:val="656565"/>
                                        <w:lang w:eastAsia="en-GB"/>
                                      </w:rPr>
                                    </w:pPr>
                                  </w:p>
                                  <w:p w14:paraId="78C96983" w14:textId="77777777" w:rsidR="00E12271" w:rsidRDefault="00E12271" w:rsidP="00A90CB5">
                                    <w:pPr>
                                      <w:spacing w:after="0" w:line="360" w:lineRule="auto"/>
                                      <w:rPr>
                                        <w:rFonts w:eastAsia="Times New Roman" w:cstheme="minorHAnsi"/>
                                        <w:b/>
                                        <w:bCs/>
                                        <w:i/>
                                        <w:color w:val="656565"/>
                                        <w:lang w:eastAsia="en-GB"/>
                                      </w:rPr>
                                    </w:pPr>
                                  </w:p>
                                  <w:p w14:paraId="61E1C18C" w14:textId="77777777" w:rsidR="00E12271" w:rsidRDefault="00E12271" w:rsidP="00A90CB5">
                                    <w:pPr>
                                      <w:spacing w:after="0" w:line="360" w:lineRule="auto"/>
                                      <w:rPr>
                                        <w:rFonts w:eastAsia="Times New Roman" w:cstheme="minorHAnsi"/>
                                        <w:b/>
                                        <w:bCs/>
                                        <w:i/>
                                        <w:color w:val="656565"/>
                                        <w:lang w:eastAsia="en-GB"/>
                                      </w:rPr>
                                    </w:pPr>
                                  </w:p>
                                  <w:p w14:paraId="2CCAF48C" w14:textId="77777777" w:rsidR="00E12271" w:rsidRDefault="00E12271" w:rsidP="00A90CB5">
                                    <w:pPr>
                                      <w:spacing w:after="0" w:line="360" w:lineRule="auto"/>
                                      <w:rPr>
                                        <w:rFonts w:eastAsia="Times New Roman" w:cstheme="minorHAnsi"/>
                                        <w:b/>
                                        <w:bCs/>
                                        <w:i/>
                                        <w:color w:val="656565"/>
                                        <w:lang w:eastAsia="en-GB"/>
                                      </w:rPr>
                                    </w:pPr>
                                  </w:p>
                                  <w:p w14:paraId="6A3A24CD" w14:textId="77777777" w:rsidR="00716624" w:rsidRPr="00E40726" w:rsidRDefault="00716624" w:rsidP="00716624">
                                    <w:pPr>
                                      <w:spacing w:after="0" w:line="360" w:lineRule="auto"/>
                                      <w:rPr>
                                        <w:rFonts w:eastAsia="Times New Roman" w:cstheme="minorHAnsi"/>
                                        <w:b/>
                                        <w:color w:val="00B0F0"/>
                                        <w:lang w:eastAsia="en-GB"/>
                                      </w:rPr>
                                    </w:pPr>
                                    <w:r w:rsidRPr="00E40726">
                                      <w:rPr>
                                        <w:rFonts w:eastAsia="Times New Roman" w:cstheme="minorHAnsi"/>
                                        <w:b/>
                                        <w:color w:val="00B0F0"/>
                                        <w:lang w:eastAsia="en-GB"/>
                                      </w:rPr>
                                      <w:t xml:space="preserve">Summary of payments you can charge: </w:t>
                                    </w:r>
                                  </w:p>
                                  <w:p w14:paraId="53A2B5AC" w14:textId="77777777" w:rsidR="00716624" w:rsidRPr="00E40726" w:rsidRDefault="00716624" w:rsidP="00716624">
                                    <w:pPr>
                                      <w:spacing w:after="0" w:line="360" w:lineRule="auto"/>
                                      <w:rPr>
                                        <w:rFonts w:eastAsia="Times New Roman" w:cstheme="minorHAnsi"/>
                                        <w:b/>
                                        <w:color w:val="656565"/>
                                        <w:lang w:eastAsia="en-GB"/>
                                      </w:rPr>
                                    </w:pPr>
                                  </w:p>
                                  <w:p w14:paraId="24206239" w14:textId="079E3144" w:rsidR="00716624" w:rsidRPr="00E40726" w:rsidRDefault="00716624" w:rsidP="00716624">
                                    <w:pPr>
                                      <w:spacing w:after="0" w:line="360" w:lineRule="auto"/>
                                      <w:rPr>
                                        <w:rFonts w:eastAsia="Times New Roman" w:cstheme="minorHAnsi"/>
                                        <w:b/>
                                        <w:color w:val="656565"/>
                                        <w:lang w:eastAsia="en-GB"/>
                                      </w:rPr>
                                    </w:pPr>
                                    <w:r w:rsidRPr="00E40726">
                                      <w:rPr>
                                        <w:rFonts w:eastAsia="Times New Roman" w:cstheme="minorHAnsi"/>
                                        <w:b/>
                                        <w:color w:val="656565"/>
                                        <w:lang w:eastAsia="en-GB"/>
                                      </w:rPr>
                                      <w:lastRenderedPageBreak/>
                                      <w:t>The Act confirms what payments</w:t>
                                    </w:r>
                                    <w:r w:rsidR="00E12271">
                                      <w:rPr>
                                        <w:rFonts w:eastAsia="Times New Roman" w:cstheme="minorHAnsi"/>
                                        <w:b/>
                                        <w:color w:val="656565"/>
                                        <w:lang w:eastAsia="en-GB"/>
                                      </w:rPr>
                                      <w:t xml:space="preserve"> are exempt and the Government G</w:t>
                                    </w:r>
                                    <w:r w:rsidRPr="00E40726">
                                      <w:rPr>
                                        <w:rFonts w:eastAsia="Times New Roman" w:cstheme="minorHAnsi"/>
                                        <w:b/>
                                        <w:color w:val="656565"/>
                                        <w:lang w:eastAsia="en-GB"/>
                                      </w:rPr>
                                      <w:t xml:space="preserve">uide includes a summary list of payments that you can charge. So if the fee is not on this list you cannot charge it and it is a prohibited payment! </w:t>
                                    </w:r>
                                  </w:p>
                                  <w:p w14:paraId="0964FD47" w14:textId="77777777" w:rsidR="00716624" w:rsidRPr="00E40726" w:rsidRDefault="00716624" w:rsidP="00716624">
                                    <w:pPr>
                                      <w:spacing w:after="0" w:line="360" w:lineRule="auto"/>
                                      <w:rPr>
                                        <w:rFonts w:eastAsia="Times New Roman" w:cstheme="minorHAnsi"/>
                                        <w:b/>
                                        <w:color w:val="656565"/>
                                        <w:lang w:eastAsia="en-GB"/>
                                      </w:rPr>
                                    </w:pPr>
                                  </w:p>
                                  <w:p w14:paraId="025534BC" w14:textId="77777777" w:rsidR="00716624" w:rsidRPr="00E40726" w:rsidRDefault="00716624" w:rsidP="00716624">
                                    <w:pPr>
                                      <w:spacing w:after="0" w:line="360" w:lineRule="auto"/>
                                      <w:rPr>
                                        <w:rFonts w:eastAsia="Times New Roman" w:cstheme="minorHAnsi"/>
                                        <w:b/>
                                        <w:color w:val="656565"/>
                                        <w:lang w:eastAsia="en-GB"/>
                                      </w:rPr>
                                    </w:pPr>
                                    <w:r w:rsidRPr="00E40726">
                                      <w:rPr>
                                        <w:rFonts w:eastAsia="Times New Roman" w:cstheme="minorHAnsi"/>
                                        <w:b/>
                                        <w:color w:val="656565"/>
                                        <w:lang w:eastAsia="en-GB"/>
                                      </w:rPr>
                                      <w:t xml:space="preserve">a) the rent </w:t>
                                    </w:r>
                                  </w:p>
                                  <w:p w14:paraId="19D4BCA8" w14:textId="77777777" w:rsidR="00716624" w:rsidRPr="00E40726" w:rsidRDefault="00716624" w:rsidP="00716624">
                                    <w:pPr>
                                      <w:spacing w:after="0" w:line="360" w:lineRule="auto"/>
                                      <w:rPr>
                                        <w:rFonts w:eastAsia="Times New Roman" w:cstheme="minorHAnsi"/>
                                        <w:b/>
                                        <w:color w:val="656565"/>
                                        <w:lang w:eastAsia="en-GB"/>
                                      </w:rPr>
                                    </w:pPr>
                                    <w:r w:rsidRPr="00E40726">
                                      <w:rPr>
                                        <w:rFonts w:eastAsia="Times New Roman" w:cstheme="minorHAnsi"/>
                                        <w:b/>
                                        <w:color w:val="656565"/>
                                        <w:lang w:eastAsia="en-GB"/>
                                      </w:rPr>
                                      <w:t xml:space="preserve">b) a refundable tenancy deposit capped at no more than five weeks’ rent where the annual rent is less than £50,000, or six weeks’ rent where the total annual rent is £50,000 or above </w:t>
                                    </w:r>
                                  </w:p>
                                  <w:p w14:paraId="115640E5" w14:textId="77777777" w:rsidR="00716624" w:rsidRPr="00E40726" w:rsidRDefault="00716624" w:rsidP="00716624">
                                    <w:pPr>
                                      <w:spacing w:after="0" w:line="360" w:lineRule="auto"/>
                                      <w:rPr>
                                        <w:rFonts w:eastAsia="Times New Roman" w:cstheme="minorHAnsi"/>
                                        <w:b/>
                                        <w:color w:val="656565"/>
                                        <w:lang w:eastAsia="en-GB"/>
                                      </w:rPr>
                                    </w:pPr>
                                    <w:r w:rsidRPr="00E40726">
                                      <w:rPr>
                                        <w:rFonts w:eastAsia="Times New Roman" w:cstheme="minorHAnsi"/>
                                        <w:b/>
                                        <w:color w:val="656565"/>
                                        <w:lang w:eastAsia="en-GB"/>
                                      </w:rPr>
                                      <w:t xml:space="preserve">c) a refundable holding deposit (to reserve a property) capped at no more than one week’s rent </w:t>
                                    </w:r>
                                  </w:p>
                                  <w:p w14:paraId="35043CBA" w14:textId="77777777" w:rsidR="00716624" w:rsidRPr="00E40726" w:rsidRDefault="00716624" w:rsidP="00716624">
                                    <w:pPr>
                                      <w:spacing w:after="0" w:line="360" w:lineRule="auto"/>
                                      <w:rPr>
                                        <w:rFonts w:eastAsia="Times New Roman" w:cstheme="minorHAnsi"/>
                                        <w:b/>
                                        <w:color w:val="656565"/>
                                        <w:lang w:eastAsia="en-GB"/>
                                      </w:rPr>
                                    </w:pPr>
                                    <w:r w:rsidRPr="00E40726">
                                      <w:rPr>
                                        <w:rFonts w:eastAsia="Times New Roman" w:cstheme="minorHAnsi"/>
                                        <w:b/>
                                        <w:color w:val="656565"/>
                                        <w:lang w:eastAsia="en-GB"/>
                                      </w:rPr>
                                      <w:t xml:space="preserve">d) payments to change the tenancy when requested by the tenant, capped at £50, or reasonable costs incurred if higher </w:t>
                                    </w:r>
                                  </w:p>
                                  <w:p w14:paraId="7E9A737F" w14:textId="77777777" w:rsidR="00716624" w:rsidRPr="00E40726" w:rsidRDefault="00716624" w:rsidP="00716624">
                                    <w:pPr>
                                      <w:spacing w:after="0" w:line="360" w:lineRule="auto"/>
                                      <w:rPr>
                                        <w:rFonts w:eastAsia="Times New Roman" w:cstheme="minorHAnsi"/>
                                        <w:b/>
                                        <w:color w:val="656565"/>
                                        <w:lang w:eastAsia="en-GB"/>
                                      </w:rPr>
                                    </w:pPr>
                                    <w:r w:rsidRPr="00E40726">
                                      <w:rPr>
                                        <w:rFonts w:eastAsia="Times New Roman" w:cstheme="minorHAnsi"/>
                                        <w:b/>
                                        <w:color w:val="656565"/>
                                        <w:lang w:eastAsia="en-GB"/>
                                      </w:rPr>
                                      <w:t xml:space="preserve">e) payments associated with early termination of the tenancy, when requested by the tenant </w:t>
                                    </w:r>
                                  </w:p>
                                  <w:p w14:paraId="064DDDBB" w14:textId="77777777" w:rsidR="00716624" w:rsidRPr="00E40726" w:rsidRDefault="00716624" w:rsidP="00716624">
                                    <w:pPr>
                                      <w:spacing w:after="0" w:line="360" w:lineRule="auto"/>
                                      <w:rPr>
                                        <w:rFonts w:eastAsia="Times New Roman" w:cstheme="minorHAnsi"/>
                                        <w:b/>
                                        <w:color w:val="656565"/>
                                        <w:lang w:eastAsia="en-GB"/>
                                      </w:rPr>
                                    </w:pPr>
                                    <w:r w:rsidRPr="00E40726">
                                      <w:rPr>
                                        <w:rFonts w:eastAsia="Times New Roman" w:cstheme="minorHAnsi"/>
                                        <w:b/>
                                        <w:color w:val="656565"/>
                                        <w:lang w:eastAsia="en-GB"/>
                                      </w:rPr>
                                      <w:t xml:space="preserve">f) payments in respect of utilities, communication services, TV licence and council tax; and </w:t>
                                    </w:r>
                                  </w:p>
                                  <w:p w14:paraId="32672524" w14:textId="3B82D206" w:rsidR="00E109B6" w:rsidRPr="00E40726" w:rsidRDefault="00716624" w:rsidP="00716624">
                                    <w:pPr>
                                      <w:spacing w:after="0" w:line="360" w:lineRule="auto"/>
                                      <w:rPr>
                                        <w:rFonts w:eastAsia="Times New Roman" w:cstheme="minorHAnsi"/>
                                        <w:b/>
                                        <w:color w:val="656565"/>
                                        <w:lang w:eastAsia="en-GB"/>
                                      </w:rPr>
                                    </w:pPr>
                                    <w:r w:rsidRPr="00E40726">
                                      <w:rPr>
                                        <w:rFonts w:eastAsia="Times New Roman" w:cstheme="minorHAnsi"/>
                                        <w:b/>
                                        <w:color w:val="656565"/>
                                        <w:lang w:eastAsia="en-GB"/>
                                      </w:rPr>
                                      <w:t>g) A default fee for late payment of rent and replacement of a lost key/security device, where required under a tenancy agreement</w:t>
                                    </w:r>
                                    <w:r w:rsidR="00A90CB5" w:rsidRPr="00E40726">
                                      <w:rPr>
                                        <w:rFonts w:eastAsia="Times New Roman" w:cstheme="minorHAnsi"/>
                                        <w:b/>
                                        <w:color w:val="656565"/>
                                        <w:lang w:eastAsia="en-GB"/>
                                      </w:rPr>
                                      <w:br/>
                                    </w:r>
                                  </w:p>
                                  <w:p w14:paraId="527D7A5A" w14:textId="29C5BC2C" w:rsidR="00ED4541" w:rsidRPr="00E40726" w:rsidRDefault="00A90CB5" w:rsidP="00A90CB5">
                                    <w:pPr>
                                      <w:spacing w:after="0" w:line="360" w:lineRule="auto"/>
                                      <w:rPr>
                                        <w:rFonts w:eastAsia="Times New Roman" w:cstheme="minorHAnsi"/>
                                        <w:b/>
                                        <w:bCs/>
                                        <w:color w:val="00B0F0"/>
                                        <w:lang w:eastAsia="en-GB"/>
                                      </w:rPr>
                                    </w:pPr>
                                    <w:r w:rsidRPr="00E40726">
                                      <w:rPr>
                                        <w:rFonts w:eastAsia="Times New Roman" w:cstheme="minorHAnsi"/>
                                        <w:b/>
                                        <w:bCs/>
                                        <w:color w:val="656565"/>
                                        <w:lang w:eastAsia="en-GB"/>
                                      </w:rPr>
                                      <w:t>BUT</w:t>
                                    </w:r>
                                    <w:r w:rsidRPr="00E40726">
                                      <w:rPr>
                                        <w:rFonts w:eastAsia="Times New Roman" w:cstheme="minorHAnsi"/>
                                        <w:b/>
                                        <w:color w:val="656565"/>
                                        <w:lang w:eastAsia="en-GB"/>
                                      </w:rPr>
                                      <w:t xml:space="preserve"> </w:t>
                                    </w:r>
                                    <w:r w:rsidR="00296998">
                                      <w:rPr>
                                        <w:rFonts w:eastAsia="Times New Roman" w:cstheme="minorHAnsi"/>
                                        <w:b/>
                                        <w:color w:val="656565"/>
                                        <w:lang w:eastAsia="en-GB"/>
                                      </w:rPr>
                                      <w:t xml:space="preserve">there are also </w:t>
                                    </w:r>
                                    <w:r w:rsidRPr="00E40726">
                                      <w:rPr>
                                        <w:rFonts w:eastAsia="Times New Roman" w:cstheme="minorHAnsi"/>
                                        <w:b/>
                                        <w:color w:val="656565"/>
                                        <w:lang w:eastAsia="en-GB"/>
                                      </w:rPr>
                                      <w:t>additional restrictions</w:t>
                                    </w:r>
                                    <w:r w:rsidR="00296998">
                                      <w:rPr>
                                        <w:rFonts w:eastAsia="Times New Roman" w:cstheme="minorHAnsi"/>
                                        <w:b/>
                                        <w:color w:val="656565"/>
                                        <w:lang w:eastAsia="en-GB"/>
                                      </w:rPr>
                                      <w:t>!</w:t>
                                    </w:r>
                                    <w:r w:rsidRPr="00E40726">
                                      <w:rPr>
                                        <w:rFonts w:eastAsia="Times New Roman" w:cstheme="minorHAnsi"/>
                                        <w:b/>
                                        <w:color w:val="656565"/>
                                        <w:lang w:eastAsia="en-GB"/>
                                      </w:rPr>
                                      <w:br/>
                                      <w:t> </w:t>
                                    </w:r>
                                    <w:r w:rsidRPr="00E40726">
                                      <w:rPr>
                                        <w:rFonts w:eastAsia="Times New Roman" w:cstheme="minorHAnsi"/>
                                        <w:b/>
                                        <w:color w:val="656565"/>
                                        <w:lang w:eastAsia="en-GB"/>
                                      </w:rPr>
                                      <w:br/>
                                    </w:r>
                                    <w:r w:rsidRPr="00E40726">
                                      <w:rPr>
                                        <w:rFonts w:eastAsia="Times New Roman" w:cstheme="minorHAnsi"/>
                                        <w:b/>
                                        <w:bCs/>
                                        <w:color w:val="00B0F0"/>
                                        <w:lang w:eastAsia="en-GB"/>
                                      </w:rPr>
                                      <w:t>HOLDING DEPOSITS</w:t>
                                    </w:r>
                                  </w:p>
                                  <w:p w14:paraId="15FDCDBE" w14:textId="32CB9E0C" w:rsidR="00A90CB5" w:rsidRPr="00E40726" w:rsidRDefault="00A90CB5" w:rsidP="00A90CB5">
                                    <w:pPr>
                                      <w:spacing w:after="0" w:line="360" w:lineRule="auto"/>
                                      <w:rPr>
                                        <w:rFonts w:eastAsia="Times New Roman" w:cstheme="minorHAnsi"/>
                                        <w:b/>
                                        <w:color w:val="656565"/>
                                        <w:lang w:eastAsia="en-GB"/>
                                      </w:rPr>
                                    </w:pPr>
                                    <w:r w:rsidRPr="00E40726">
                                      <w:rPr>
                                        <w:rFonts w:eastAsia="Times New Roman" w:cstheme="minorHAnsi"/>
                                        <w:b/>
                                        <w:color w:val="656565"/>
                                        <w:lang w:eastAsia="en-GB"/>
                                      </w:rPr>
                                      <w:br/>
                                      <w:t xml:space="preserve">Holding Deposits will be limited to a maximum of </w:t>
                                    </w:r>
                                    <w:r w:rsidRPr="00E40726">
                                      <w:rPr>
                                        <w:rFonts w:eastAsia="Times New Roman" w:cstheme="minorHAnsi"/>
                                        <w:b/>
                                        <w:bCs/>
                                        <w:color w:val="656565"/>
                                        <w:lang w:eastAsia="en-GB"/>
                                      </w:rPr>
                                      <w:t>1 weeks rent</w:t>
                                    </w:r>
                                    <w:r w:rsidRPr="00E40726">
                                      <w:rPr>
                                        <w:rFonts w:eastAsia="Times New Roman" w:cstheme="minorHAnsi"/>
                                        <w:b/>
                                        <w:color w:val="656565"/>
                                        <w:lang w:eastAsia="en-GB"/>
                                      </w:rPr>
                                      <w:t>, plus:</w:t>
                                    </w:r>
                                  </w:p>
                                  <w:p w14:paraId="44CAB71B" w14:textId="790E023D" w:rsidR="00A90CB5" w:rsidRPr="00E40726" w:rsidRDefault="00A90CB5" w:rsidP="00A90CB5">
                                    <w:pPr>
                                      <w:spacing w:after="0" w:line="360" w:lineRule="auto"/>
                                      <w:jc w:val="both"/>
                                      <w:rPr>
                                        <w:rFonts w:eastAsia="Times New Roman" w:cstheme="minorHAnsi"/>
                                        <w:b/>
                                        <w:color w:val="656565"/>
                                        <w:lang w:eastAsia="en-GB"/>
                                      </w:rPr>
                                    </w:pPr>
                                    <w:r w:rsidRPr="00E40726">
                                      <w:rPr>
                                        <w:rFonts w:eastAsia="Times New Roman" w:cstheme="minorHAnsi"/>
                                        <w:b/>
                                        <w:color w:val="656565"/>
                                        <w:lang w:eastAsia="en-GB"/>
                                      </w:rPr>
                                      <w:br/>
                                      <w:t xml:space="preserve">1.    The landlord has </w:t>
                                    </w:r>
                                    <w:r w:rsidRPr="00E40726">
                                      <w:rPr>
                                        <w:rFonts w:eastAsia="Times New Roman" w:cstheme="minorHAnsi"/>
                                        <w:b/>
                                        <w:bCs/>
                                        <w:color w:val="656565"/>
                                        <w:lang w:eastAsia="en-GB"/>
                                      </w:rPr>
                                      <w:t>15 days</w:t>
                                    </w:r>
                                    <w:r w:rsidRPr="00E40726">
                                      <w:rPr>
                                        <w:rFonts w:eastAsia="Times New Roman" w:cstheme="minorHAnsi"/>
                                        <w:b/>
                                        <w:color w:val="656565"/>
                                        <w:lang w:eastAsia="en-GB"/>
                                      </w:rPr>
                                      <w:t xml:space="preserve"> from the date the holding deposit is taken to make a decision as to whether they agree to let the property to the prospective tenant</w:t>
                                    </w:r>
                                    <w:r w:rsidR="00ED4541" w:rsidRPr="00E40726">
                                      <w:rPr>
                                        <w:rFonts w:eastAsia="Times New Roman" w:cstheme="minorHAnsi"/>
                                        <w:b/>
                                        <w:color w:val="656565"/>
                                        <w:lang w:eastAsia="en-GB"/>
                                      </w:rPr>
                                      <w:t xml:space="preserve">. This is known as the </w:t>
                                    </w:r>
                                    <w:r w:rsidR="00296998">
                                      <w:rPr>
                                        <w:rFonts w:eastAsia="Times New Roman" w:cstheme="minorHAnsi"/>
                                        <w:b/>
                                        <w:color w:val="656565"/>
                                        <w:lang w:eastAsia="en-GB"/>
                                      </w:rPr>
                                      <w:t>“</w:t>
                                    </w:r>
                                    <w:r w:rsidR="00ED4541" w:rsidRPr="00E40726">
                                      <w:rPr>
                                        <w:rFonts w:eastAsia="Times New Roman" w:cstheme="minorHAnsi"/>
                                        <w:b/>
                                        <w:color w:val="656565"/>
                                        <w:lang w:eastAsia="en-GB"/>
                                      </w:rPr>
                                      <w:t>deadline for agreement</w:t>
                                    </w:r>
                                    <w:r w:rsidR="00296998">
                                      <w:rPr>
                                        <w:rFonts w:eastAsia="Times New Roman" w:cstheme="minorHAnsi"/>
                                        <w:b/>
                                        <w:color w:val="656565"/>
                                        <w:lang w:eastAsia="en-GB"/>
                                      </w:rPr>
                                      <w:t>”</w:t>
                                    </w:r>
                                    <w:r w:rsidR="00ED4541" w:rsidRPr="00E40726">
                                      <w:rPr>
                                        <w:rFonts w:eastAsia="Times New Roman" w:cstheme="minorHAnsi"/>
                                        <w:b/>
                                        <w:color w:val="656565"/>
                                        <w:lang w:eastAsia="en-GB"/>
                                      </w:rPr>
                                      <w:t xml:space="preserve"> and applies unless the parties agree to vary </w:t>
                                    </w:r>
                                    <w:r w:rsidR="00296998">
                                      <w:rPr>
                                        <w:rFonts w:eastAsia="Times New Roman" w:cstheme="minorHAnsi"/>
                                        <w:b/>
                                        <w:color w:val="656565"/>
                                        <w:lang w:eastAsia="en-GB"/>
                                      </w:rPr>
                                      <w:t xml:space="preserve">that deadline </w:t>
                                    </w:r>
                                    <w:r w:rsidR="00ED4541" w:rsidRPr="00E40726">
                                      <w:rPr>
                                        <w:rFonts w:eastAsia="Times New Roman" w:cstheme="minorHAnsi"/>
                                        <w:b/>
                                        <w:color w:val="656565"/>
                                        <w:lang w:eastAsia="en-GB"/>
                                      </w:rPr>
                                      <w:t xml:space="preserve">in writing. </w:t>
                                    </w:r>
                                  </w:p>
                                  <w:p w14:paraId="0FF21431" w14:textId="02D2F684" w:rsidR="008F3378" w:rsidRPr="00E40726" w:rsidRDefault="00A90CB5" w:rsidP="00A90CB5">
                                    <w:pPr>
                                      <w:spacing w:after="0" w:line="360" w:lineRule="auto"/>
                                      <w:jc w:val="both"/>
                                      <w:rPr>
                                        <w:rFonts w:eastAsia="Times New Roman" w:cstheme="minorHAnsi"/>
                                        <w:b/>
                                        <w:color w:val="656565"/>
                                        <w:lang w:eastAsia="en-GB"/>
                                      </w:rPr>
                                    </w:pPr>
                                    <w:r w:rsidRPr="00E40726">
                                      <w:rPr>
                                        <w:rFonts w:eastAsia="Times New Roman" w:cstheme="minorHAnsi"/>
                                        <w:b/>
                                        <w:color w:val="656565"/>
                                        <w:lang w:eastAsia="en-GB"/>
                                      </w:rPr>
                                      <w:br/>
                                      <w:t xml:space="preserve">2.    If the tenancy does not proceed </w:t>
                                    </w:r>
                                    <w:r w:rsidR="008F3378" w:rsidRPr="00E40726">
                                      <w:rPr>
                                        <w:rFonts w:eastAsia="Times New Roman" w:cstheme="minorHAnsi"/>
                                        <w:b/>
                                        <w:color w:val="656565"/>
                                        <w:lang w:eastAsia="en-GB"/>
                                      </w:rPr>
                                      <w:t xml:space="preserve">(and the tenant is not at fault) then </w:t>
                                    </w:r>
                                    <w:r w:rsidRPr="00E40726">
                                      <w:rPr>
                                        <w:rFonts w:eastAsia="Times New Roman" w:cstheme="minorHAnsi"/>
                                        <w:b/>
                                        <w:color w:val="656565"/>
                                        <w:lang w:eastAsia="en-GB"/>
                                      </w:rPr>
                                      <w:t xml:space="preserve">the holding deposit must be repaid within </w:t>
                                    </w:r>
                                    <w:r w:rsidRPr="00E40726">
                                      <w:rPr>
                                        <w:rFonts w:eastAsia="Times New Roman" w:cstheme="minorHAnsi"/>
                                        <w:b/>
                                        <w:bCs/>
                                        <w:color w:val="656565"/>
                                        <w:lang w:eastAsia="en-GB"/>
                                      </w:rPr>
                                      <w:t>7 days</w:t>
                                    </w:r>
                                    <w:r w:rsidRPr="00E40726">
                                      <w:rPr>
                                        <w:rFonts w:eastAsia="Times New Roman" w:cstheme="minorHAnsi"/>
                                        <w:b/>
                                        <w:color w:val="656565"/>
                                        <w:lang w:eastAsia="en-GB"/>
                                      </w:rPr>
                                      <w:t xml:space="preserve"> </w:t>
                                    </w:r>
                                    <w:r w:rsidR="008F3378" w:rsidRPr="00E40726">
                                      <w:rPr>
                                        <w:rFonts w:eastAsia="Times New Roman" w:cstheme="minorHAnsi"/>
                                        <w:b/>
                                        <w:color w:val="656565"/>
                                        <w:lang w:eastAsia="en-GB"/>
                                      </w:rPr>
                                      <w:t xml:space="preserve">from the deadline for agreement or from the </w:t>
                                    </w:r>
                                    <w:r w:rsidRPr="00E40726">
                                      <w:rPr>
                                        <w:rFonts w:eastAsia="Times New Roman" w:cstheme="minorHAnsi"/>
                                        <w:b/>
                                        <w:color w:val="656565"/>
                                        <w:lang w:eastAsia="en-GB"/>
                                      </w:rPr>
                                      <w:t>landlord’s decision not to proceed</w:t>
                                    </w:r>
                                    <w:r w:rsidR="008F3378" w:rsidRPr="00E40726">
                                      <w:rPr>
                                        <w:rFonts w:eastAsia="Times New Roman" w:cstheme="minorHAnsi"/>
                                        <w:b/>
                                        <w:color w:val="656565"/>
                                        <w:lang w:eastAsia="en-GB"/>
                                      </w:rPr>
                                      <w:t xml:space="preserve"> if that is sooner. </w:t>
                                    </w:r>
                                  </w:p>
                                  <w:p w14:paraId="06FB41FC" w14:textId="77777777" w:rsidR="008F3378" w:rsidRPr="00E40726" w:rsidRDefault="008F3378" w:rsidP="00A90CB5">
                                    <w:pPr>
                                      <w:spacing w:after="0" w:line="360" w:lineRule="auto"/>
                                      <w:jc w:val="both"/>
                                      <w:rPr>
                                        <w:rFonts w:eastAsia="Times New Roman" w:cstheme="minorHAnsi"/>
                                        <w:b/>
                                        <w:color w:val="656565"/>
                                        <w:lang w:eastAsia="en-GB"/>
                                      </w:rPr>
                                    </w:pPr>
                                  </w:p>
                                  <w:p w14:paraId="4DD32373" w14:textId="7247D262" w:rsidR="008F3378" w:rsidRPr="00E40726" w:rsidRDefault="008F3378" w:rsidP="00A90CB5">
                                    <w:pPr>
                                      <w:spacing w:after="0" w:line="360" w:lineRule="auto"/>
                                      <w:jc w:val="both"/>
                                      <w:rPr>
                                        <w:rFonts w:eastAsia="Times New Roman" w:cstheme="minorHAnsi"/>
                                        <w:b/>
                                        <w:color w:val="656565"/>
                                        <w:lang w:eastAsia="en-GB"/>
                                      </w:rPr>
                                    </w:pPr>
                                    <w:r w:rsidRPr="00E40726">
                                      <w:rPr>
                                        <w:rFonts w:eastAsia="Times New Roman" w:cstheme="minorHAnsi"/>
                                        <w:b/>
                                        <w:color w:val="656565"/>
                                        <w:lang w:eastAsia="en-GB"/>
                                      </w:rPr>
                                      <w:t xml:space="preserve">The Government guide specifically refers to circumstances when the holding deposit must be returned in full : </w:t>
                                    </w:r>
                                  </w:p>
                                  <w:p w14:paraId="56CA1A3A" w14:textId="77777777" w:rsidR="008F3378" w:rsidRPr="00E40726" w:rsidRDefault="008F3378" w:rsidP="00A90CB5">
                                    <w:pPr>
                                      <w:spacing w:after="0" w:line="360" w:lineRule="auto"/>
                                      <w:jc w:val="both"/>
                                      <w:rPr>
                                        <w:rFonts w:eastAsia="Times New Roman" w:cstheme="minorHAnsi"/>
                                        <w:b/>
                                        <w:color w:val="656565"/>
                                        <w:lang w:eastAsia="en-GB"/>
                                      </w:rPr>
                                    </w:pPr>
                                  </w:p>
                                  <w:p w14:paraId="17515499" w14:textId="77777777" w:rsidR="008F3378" w:rsidRPr="00E40726" w:rsidRDefault="008F3378" w:rsidP="00A90CB5">
                                    <w:pPr>
                                      <w:spacing w:after="0" w:line="360" w:lineRule="auto"/>
                                      <w:jc w:val="both"/>
                                      <w:rPr>
                                        <w:rFonts w:eastAsia="Times New Roman" w:cstheme="minorHAnsi"/>
                                        <w:b/>
                                        <w:i/>
                                        <w:color w:val="656565"/>
                                        <w:lang w:eastAsia="en-GB"/>
                                      </w:rPr>
                                    </w:pPr>
                                    <w:r w:rsidRPr="00E40726">
                                      <w:rPr>
                                        <w:rFonts w:eastAsia="Times New Roman" w:cstheme="minorHAnsi"/>
                                        <w:b/>
                                        <w:i/>
                                        <w:color w:val="656565"/>
                                        <w:lang w:eastAsia="en-GB"/>
                                      </w:rPr>
                                      <w:lastRenderedPageBreak/>
                                      <w:t>“You must refund the holding deposit where a tenant later enters into a tenancy agreement, the landlord decides not to rent the property, an agreement is not reached before the ‘deadline for agreement’ (and the tenant is not at fault), or if you impose a requirement that breaches the ban and/or act in such a way that it would be unreasonable to expect a tenant to enter into a tenancy agreement with you (i.e. including unfair terms in a tenancy agreement or harassment etc.).”</w:t>
                                    </w:r>
                                  </w:p>
                                  <w:p w14:paraId="2A4332AE" w14:textId="4D2C07D8" w:rsidR="00A90CB5" w:rsidRPr="00E40726" w:rsidRDefault="00A90CB5" w:rsidP="00A90CB5">
                                    <w:pPr>
                                      <w:spacing w:after="0" w:line="360" w:lineRule="auto"/>
                                      <w:jc w:val="both"/>
                                      <w:rPr>
                                        <w:rFonts w:eastAsia="Times New Roman" w:cstheme="minorHAnsi"/>
                                        <w:b/>
                                        <w:color w:val="656565"/>
                                        <w:lang w:eastAsia="en-GB"/>
                                      </w:rPr>
                                    </w:pPr>
                                    <w:r w:rsidRPr="00E40726">
                                      <w:rPr>
                                        <w:rFonts w:eastAsia="Times New Roman" w:cstheme="minorHAnsi"/>
                                        <w:b/>
                                        <w:color w:val="656565"/>
                                        <w:lang w:eastAsia="en-GB"/>
                                      </w:rPr>
                                      <w:br/>
                                      <w:t>3.   </w:t>
                                    </w:r>
                                    <w:r w:rsidR="00BF601F" w:rsidRPr="00E40726">
                                      <w:rPr>
                                        <w:rFonts w:eastAsia="Times New Roman" w:cstheme="minorHAnsi"/>
                                        <w:b/>
                                        <w:color w:val="656565"/>
                                        <w:lang w:eastAsia="en-GB"/>
                                      </w:rPr>
                                      <w:t xml:space="preserve">The landlord or agent can retain reasonable costs from the holding </w:t>
                                    </w:r>
                                    <w:r w:rsidR="002975CC" w:rsidRPr="00E40726">
                                      <w:rPr>
                                        <w:rFonts w:eastAsia="Times New Roman" w:cstheme="minorHAnsi"/>
                                        <w:b/>
                                        <w:color w:val="656565"/>
                                        <w:lang w:eastAsia="en-GB"/>
                                      </w:rPr>
                                      <w:t>deposit in</w:t>
                                    </w:r>
                                    <w:r w:rsidR="00BF601F" w:rsidRPr="00E40726">
                                      <w:rPr>
                                        <w:rFonts w:eastAsia="Times New Roman" w:cstheme="minorHAnsi"/>
                                        <w:b/>
                                        <w:color w:val="656565"/>
                                        <w:lang w:eastAsia="en-GB"/>
                                      </w:rPr>
                                      <w:t xml:space="preserve"> the following circumstances</w:t>
                                    </w:r>
                                    <w:r w:rsidRPr="00E40726">
                                      <w:rPr>
                                        <w:rFonts w:eastAsia="Times New Roman" w:cstheme="minorHAnsi"/>
                                        <w:b/>
                                        <w:color w:val="656565"/>
                                        <w:lang w:eastAsia="en-GB"/>
                                      </w:rPr>
                                      <w:t>: -</w:t>
                                    </w:r>
                                  </w:p>
                                  <w:p w14:paraId="6EFC16BF" w14:textId="77777777" w:rsidR="00A90CB5" w:rsidRPr="00E40726" w:rsidRDefault="00A90CB5" w:rsidP="00A90CB5">
                                    <w:pPr>
                                      <w:numPr>
                                        <w:ilvl w:val="0"/>
                                        <w:numId w:val="5"/>
                                      </w:numPr>
                                      <w:spacing w:before="100" w:beforeAutospacing="1" w:after="100" w:afterAutospacing="1" w:line="360" w:lineRule="auto"/>
                                      <w:jc w:val="both"/>
                                      <w:rPr>
                                        <w:rFonts w:eastAsia="Times New Roman" w:cstheme="minorHAnsi"/>
                                        <w:b/>
                                        <w:color w:val="656565"/>
                                        <w:lang w:eastAsia="en-GB"/>
                                      </w:rPr>
                                    </w:pPr>
                                    <w:r w:rsidRPr="00E40726">
                                      <w:rPr>
                                        <w:rFonts w:eastAsia="Times New Roman" w:cstheme="minorHAnsi"/>
                                        <w:b/>
                                        <w:color w:val="656565"/>
                                        <w:lang w:eastAsia="en-GB"/>
                                      </w:rPr>
                                      <w:t>the tenant decides not to proceed;</w:t>
                                    </w:r>
                                  </w:p>
                                  <w:p w14:paraId="58019FE9" w14:textId="77777777" w:rsidR="00A90CB5" w:rsidRPr="00E40726" w:rsidRDefault="00A90CB5" w:rsidP="00A90CB5">
                                    <w:pPr>
                                      <w:numPr>
                                        <w:ilvl w:val="0"/>
                                        <w:numId w:val="5"/>
                                      </w:numPr>
                                      <w:spacing w:before="100" w:beforeAutospacing="1" w:after="100" w:afterAutospacing="1" w:line="360" w:lineRule="auto"/>
                                      <w:jc w:val="both"/>
                                      <w:rPr>
                                        <w:rFonts w:eastAsia="Times New Roman" w:cstheme="minorHAnsi"/>
                                        <w:b/>
                                        <w:color w:val="656565"/>
                                        <w:lang w:eastAsia="en-GB"/>
                                      </w:rPr>
                                    </w:pPr>
                                    <w:r w:rsidRPr="00E40726">
                                      <w:rPr>
                                        <w:rFonts w:eastAsia="Times New Roman" w:cstheme="minorHAnsi"/>
                                        <w:b/>
                                        <w:color w:val="656565"/>
                                        <w:lang w:eastAsia="en-GB"/>
                                      </w:rPr>
                                      <w:t>the tenant fails the right to rent checks;</w:t>
                                    </w:r>
                                  </w:p>
                                  <w:p w14:paraId="516097AB" w14:textId="77777777" w:rsidR="00A90CB5" w:rsidRPr="00E40726" w:rsidRDefault="00A90CB5" w:rsidP="00A90CB5">
                                    <w:pPr>
                                      <w:numPr>
                                        <w:ilvl w:val="0"/>
                                        <w:numId w:val="5"/>
                                      </w:numPr>
                                      <w:spacing w:before="100" w:beforeAutospacing="1" w:after="100" w:afterAutospacing="1" w:line="360" w:lineRule="auto"/>
                                      <w:jc w:val="both"/>
                                      <w:rPr>
                                        <w:rFonts w:eastAsia="Times New Roman" w:cstheme="minorHAnsi"/>
                                        <w:b/>
                                        <w:color w:val="656565"/>
                                        <w:lang w:eastAsia="en-GB"/>
                                      </w:rPr>
                                    </w:pPr>
                                    <w:r w:rsidRPr="00E40726">
                                      <w:rPr>
                                        <w:rFonts w:eastAsia="Times New Roman" w:cstheme="minorHAnsi"/>
                                        <w:b/>
                                        <w:color w:val="656565"/>
                                        <w:lang w:eastAsia="en-GB"/>
                                      </w:rPr>
                                      <w:t>provides false or misleading information; or</w:t>
                                    </w:r>
                                  </w:p>
                                  <w:p w14:paraId="01A755CA" w14:textId="290C380A" w:rsidR="00A90CB5" w:rsidRPr="00E40726" w:rsidRDefault="00A90CB5" w:rsidP="00A90CB5">
                                    <w:pPr>
                                      <w:numPr>
                                        <w:ilvl w:val="0"/>
                                        <w:numId w:val="5"/>
                                      </w:numPr>
                                      <w:spacing w:before="100" w:beforeAutospacing="1" w:after="100" w:afterAutospacing="1" w:line="360" w:lineRule="auto"/>
                                      <w:jc w:val="both"/>
                                      <w:rPr>
                                        <w:rFonts w:eastAsia="Times New Roman" w:cstheme="minorHAnsi"/>
                                        <w:b/>
                                        <w:color w:val="656565"/>
                                        <w:lang w:eastAsia="en-GB"/>
                                      </w:rPr>
                                    </w:pPr>
                                    <w:r w:rsidRPr="00E40726">
                                      <w:rPr>
                                        <w:rFonts w:eastAsia="Times New Roman" w:cstheme="minorHAnsi"/>
                                        <w:b/>
                                        <w:color w:val="656565"/>
                                        <w:lang w:eastAsia="en-GB"/>
                                      </w:rPr>
                                      <w:t>where the landlord tries their best to get the information required and the tenant fails to provide it within the 15 days.</w:t>
                                    </w:r>
                                  </w:p>
                                  <w:p w14:paraId="0B92D19F" w14:textId="77777777" w:rsidR="00A90CB5" w:rsidRPr="00E40726" w:rsidRDefault="00A90CB5" w:rsidP="00A90CB5">
                                    <w:pPr>
                                      <w:spacing w:after="0" w:line="360" w:lineRule="auto"/>
                                      <w:jc w:val="both"/>
                                      <w:rPr>
                                        <w:rFonts w:eastAsia="Times New Roman" w:cstheme="minorHAnsi"/>
                                        <w:b/>
                                        <w:color w:val="656565"/>
                                        <w:lang w:eastAsia="en-GB"/>
                                      </w:rPr>
                                    </w:pPr>
                                    <w:r w:rsidRPr="00E40726">
                                      <w:rPr>
                                        <w:rFonts w:eastAsia="Times New Roman" w:cstheme="minorHAnsi"/>
                                        <w:b/>
                                        <w:color w:val="656565"/>
                                        <w:lang w:eastAsia="en-GB"/>
                                      </w:rPr>
                                      <w:t xml:space="preserve">4.    If the tenancy does go ahead, the holding deposit must be returned within </w:t>
                                    </w:r>
                                    <w:r w:rsidRPr="00E40726">
                                      <w:rPr>
                                        <w:rFonts w:eastAsia="Times New Roman" w:cstheme="minorHAnsi"/>
                                        <w:b/>
                                        <w:bCs/>
                                        <w:color w:val="656565"/>
                                        <w:lang w:eastAsia="en-GB"/>
                                      </w:rPr>
                                      <w:t>7 days</w:t>
                                    </w:r>
                                    <w:r w:rsidRPr="00E40726">
                                      <w:rPr>
                                        <w:rFonts w:eastAsia="Times New Roman" w:cstheme="minorHAnsi"/>
                                        <w:b/>
                                        <w:color w:val="656565"/>
                                        <w:lang w:eastAsia="en-GB"/>
                                      </w:rPr>
                                      <w:t xml:space="preserve"> of agreement, unless it is offset against payment of the main deposit or used towards the first months’ rent.</w:t>
                                    </w:r>
                                  </w:p>
                                  <w:p w14:paraId="485EEECB" w14:textId="77777777" w:rsidR="008F3378" w:rsidRPr="00E40726" w:rsidRDefault="008F3378" w:rsidP="00A90CB5">
                                    <w:pPr>
                                      <w:spacing w:after="0" w:line="360" w:lineRule="auto"/>
                                      <w:jc w:val="both"/>
                                      <w:rPr>
                                        <w:rFonts w:eastAsia="Times New Roman" w:cstheme="minorHAnsi"/>
                                        <w:b/>
                                        <w:color w:val="656565"/>
                                        <w:lang w:eastAsia="en-GB"/>
                                      </w:rPr>
                                    </w:pPr>
                                  </w:p>
                                  <w:p w14:paraId="7CFBAF98" w14:textId="5CE8F157" w:rsidR="008F3378" w:rsidRPr="00E40726" w:rsidRDefault="008F3378" w:rsidP="00A90CB5">
                                    <w:pPr>
                                      <w:spacing w:after="0" w:line="360" w:lineRule="auto"/>
                                      <w:jc w:val="both"/>
                                      <w:rPr>
                                        <w:rFonts w:eastAsia="Times New Roman" w:cstheme="minorHAnsi"/>
                                        <w:b/>
                                        <w:color w:val="656565"/>
                                        <w:lang w:eastAsia="en-GB"/>
                                      </w:rPr>
                                    </w:pPr>
                                    <w:r w:rsidRPr="00E40726">
                                      <w:rPr>
                                        <w:rFonts w:eastAsia="Times New Roman" w:cstheme="minorHAnsi"/>
                                        <w:b/>
                                        <w:color w:val="656565"/>
                                        <w:lang w:eastAsia="en-GB"/>
                                      </w:rPr>
                                      <w:t xml:space="preserve">5.    If the tenancy does not go ahead and you wish to retain the holding deposit you must also set out in writing the reason for this within 7 days of deciding not to enter the agreement or the “deadline for agreement”. </w:t>
                                    </w:r>
                                    <w:r w:rsidR="002975CC" w:rsidRPr="00E40726">
                                      <w:rPr>
                                        <w:rFonts w:eastAsia="Times New Roman" w:cstheme="minorHAnsi"/>
                                        <w:b/>
                                        <w:color w:val="656565"/>
                                        <w:lang w:eastAsia="en-GB"/>
                                      </w:rPr>
                                      <w:t xml:space="preserve"> We suggest you provide evidence in support as this can be challenged by the prospective tenant.</w:t>
                                    </w:r>
                                  </w:p>
                                  <w:p w14:paraId="5E8C4FDB" w14:textId="77777777" w:rsidR="008F3378" w:rsidRPr="00E40726" w:rsidRDefault="008F3378" w:rsidP="00A90CB5">
                                    <w:pPr>
                                      <w:spacing w:after="0" w:line="360" w:lineRule="auto"/>
                                      <w:jc w:val="both"/>
                                      <w:rPr>
                                        <w:rFonts w:eastAsia="Times New Roman" w:cstheme="minorHAnsi"/>
                                        <w:b/>
                                        <w:color w:val="656565"/>
                                        <w:lang w:eastAsia="en-GB"/>
                                      </w:rPr>
                                    </w:pPr>
                                  </w:p>
                                  <w:p w14:paraId="2265993F" w14:textId="5955285F" w:rsidR="00ED4541" w:rsidRPr="00E40726" w:rsidRDefault="008F3378" w:rsidP="00A90CB5">
                                    <w:pPr>
                                      <w:spacing w:after="0" w:line="360" w:lineRule="auto"/>
                                      <w:jc w:val="both"/>
                                      <w:rPr>
                                        <w:rFonts w:eastAsia="Times New Roman" w:cstheme="minorHAnsi"/>
                                        <w:b/>
                                        <w:color w:val="656565"/>
                                        <w:lang w:eastAsia="en-GB"/>
                                      </w:rPr>
                                    </w:pPr>
                                    <w:r w:rsidRPr="00E40726">
                                      <w:rPr>
                                        <w:rFonts w:eastAsia="Times New Roman" w:cstheme="minorHAnsi"/>
                                        <w:b/>
                                        <w:color w:val="656565"/>
                                        <w:lang w:eastAsia="en-GB"/>
                                      </w:rPr>
                                      <w:t xml:space="preserve">6.   A holding deposit can only be taken for one property at any one time. </w:t>
                                    </w:r>
                                    <w:r w:rsidR="00ED4541" w:rsidRPr="00E40726">
                                      <w:rPr>
                                        <w:rFonts w:eastAsia="Times New Roman" w:cstheme="minorHAnsi"/>
                                        <w:b/>
                                        <w:color w:val="656565"/>
                                        <w:lang w:eastAsia="en-GB"/>
                                      </w:rPr>
                                      <w:t xml:space="preserve">The Government Guide specifically sates: </w:t>
                                    </w:r>
                                  </w:p>
                                  <w:p w14:paraId="6E08C5F0" w14:textId="77777777" w:rsidR="00ED4541" w:rsidRPr="00E40726" w:rsidRDefault="00ED4541" w:rsidP="00A90CB5">
                                    <w:pPr>
                                      <w:spacing w:after="0" w:line="360" w:lineRule="auto"/>
                                      <w:jc w:val="both"/>
                                      <w:rPr>
                                        <w:rFonts w:eastAsia="Times New Roman" w:cstheme="minorHAnsi"/>
                                        <w:b/>
                                        <w:color w:val="656565"/>
                                        <w:lang w:eastAsia="en-GB"/>
                                      </w:rPr>
                                    </w:pPr>
                                  </w:p>
                                  <w:p w14:paraId="66F2CE0C" w14:textId="4B6147B5" w:rsidR="00ED4541" w:rsidRDefault="00ED4541" w:rsidP="00A90CB5">
                                    <w:pPr>
                                      <w:spacing w:after="0" w:line="360" w:lineRule="auto"/>
                                      <w:jc w:val="both"/>
                                      <w:rPr>
                                        <w:rFonts w:eastAsia="Times New Roman" w:cstheme="minorHAnsi"/>
                                        <w:b/>
                                        <w:i/>
                                        <w:color w:val="656565"/>
                                        <w:lang w:eastAsia="en-GB"/>
                                      </w:rPr>
                                    </w:pPr>
                                    <w:r w:rsidRPr="00E40726">
                                      <w:rPr>
                                        <w:rFonts w:eastAsia="Times New Roman" w:cstheme="minorHAnsi"/>
                                        <w:b/>
                                        <w:i/>
                                        <w:color w:val="656565"/>
                                        <w:lang w:eastAsia="en-GB"/>
                                      </w:rPr>
                                      <w:t>“You may only accept one holding deposit for one property at any one time. If you accept more than one, this will be a prohibited payment. You should stop advertising a property once a holding deposit has been agreed to be paid.”</w:t>
                                    </w:r>
                                  </w:p>
                                  <w:p w14:paraId="0B1380D4" w14:textId="77777777" w:rsidR="001A1506" w:rsidRDefault="001A1506" w:rsidP="00A90CB5">
                                    <w:pPr>
                                      <w:spacing w:after="0" w:line="360" w:lineRule="auto"/>
                                      <w:jc w:val="both"/>
                                      <w:rPr>
                                        <w:rFonts w:eastAsia="Times New Roman" w:cstheme="minorHAnsi"/>
                                        <w:b/>
                                        <w:i/>
                                        <w:color w:val="656565"/>
                                        <w:lang w:eastAsia="en-GB"/>
                                      </w:rPr>
                                    </w:pPr>
                                  </w:p>
                                  <w:p w14:paraId="2B629165" w14:textId="7DBA0555" w:rsidR="001A1506" w:rsidRPr="001A1506" w:rsidRDefault="001A1506" w:rsidP="00A90CB5">
                                    <w:pPr>
                                      <w:spacing w:after="0" w:line="360" w:lineRule="auto"/>
                                      <w:jc w:val="both"/>
                                      <w:rPr>
                                        <w:rFonts w:eastAsia="Times New Roman" w:cstheme="minorHAnsi"/>
                                        <w:b/>
                                        <w:color w:val="656565"/>
                                        <w:lang w:eastAsia="en-GB"/>
                                      </w:rPr>
                                    </w:pPr>
                                    <w:r w:rsidRPr="001A1506">
                                      <w:rPr>
                                        <w:rFonts w:eastAsia="Times New Roman" w:cstheme="minorHAnsi"/>
                                        <w:b/>
                                        <w:color w:val="656565"/>
                                        <w:lang w:eastAsia="en-GB"/>
                                      </w:rPr>
                                      <w:t>The Government Guide</w:t>
                                    </w:r>
                                    <w:r>
                                      <w:rPr>
                                        <w:rFonts w:eastAsia="Times New Roman" w:cstheme="minorHAnsi"/>
                                        <w:b/>
                                        <w:color w:val="656565"/>
                                        <w:lang w:eastAsia="en-GB"/>
                                      </w:rPr>
                                      <w:t xml:space="preserve"> (</w:t>
                                    </w:r>
                                    <w:proofErr w:type="spellStart"/>
                                    <w:r>
                                      <w:rPr>
                                        <w:rFonts w:eastAsia="Times New Roman" w:cstheme="minorHAnsi"/>
                                        <w:b/>
                                        <w:color w:val="656565"/>
                                        <w:lang w:eastAsia="en-GB"/>
                                      </w:rPr>
                                      <w:t>pg</w:t>
                                    </w:r>
                                    <w:proofErr w:type="spellEnd"/>
                                    <w:r>
                                      <w:rPr>
                                        <w:rFonts w:eastAsia="Times New Roman" w:cstheme="minorHAnsi"/>
                                        <w:b/>
                                        <w:color w:val="656565"/>
                                        <w:lang w:eastAsia="en-GB"/>
                                      </w:rPr>
                                      <w:t xml:space="preserve"> 33) includes some </w:t>
                                    </w:r>
                                    <w:r w:rsidRPr="001A1506">
                                      <w:rPr>
                                        <w:rFonts w:eastAsia="Times New Roman" w:cstheme="minorHAnsi"/>
                                        <w:b/>
                                        <w:color w:val="656565"/>
                                        <w:lang w:eastAsia="en-GB"/>
                                      </w:rPr>
                                      <w:t xml:space="preserve">very useful </w:t>
                                    </w:r>
                                    <w:r>
                                      <w:rPr>
                                        <w:rFonts w:eastAsia="Times New Roman" w:cstheme="minorHAnsi"/>
                                        <w:b/>
                                        <w:color w:val="656565"/>
                                        <w:lang w:eastAsia="en-GB"/>
                                      </w:rPr>
                                      <w:t xml:space="preserve">and detailed </w:t>
                                    </w:r>
                                    <w:r w:rsidRPr="001A1506">
                                      <w:rPr>
                                        <w:rFonts w:eastAsia="Times New Roman" w:cstheme="minorHAnsi"/>
                                        <w:b/>
                                        <w:color w:val="656565"/>
                                        <w:lang w:eastAsia="en-GB"/>
                                      </w:rPr>
                                      <w:t xml:space="preserve">FAQs on holding deposits which are certainly worth reading. </w:t>
                                    </w:r>
                                  </w:p>
                                  <w:p w14:paraId="5AD4B3CD" w14:textId="77777777" w:rsidR="00E12271" w:rsidRDefault="00A90CB5" w:rsidP="00A90CB5">
                                    <w:pPr>
                                      <w:spacing w:after="0" w:line="360" w:lineRule="auto"/>
                                      <w:jc w:val="both"/>
                                      <w:rPr>
                                        <w:rFonts w:eastAsia="Times New Roman" w:cstheme="minorHAnsi"/>
                                        <w:b/>
                                        <w:bCs/>
                                        <w:color w:val="00B0F0"/>
                                        <w:lang w:eastAsia="en-GB"/>
                                      </w:rPr>
                                    </w:pPr>
                                    <w:r w:rsidRPr="00E40726">
                                      <w:rPr>
                                        <w:rFonts w:eastAsia="Times New Roman" w:cstheme="minorHAnsi"/>
                                        <w:b/>
                                        <w:color w:val="656565"/>
                                        <w:lang w:eastAsia="en-GB"/>
                                      </w:rPr>
                                      <w:lastRenderedPageBreak/>
                                      <w:br/>
                                    </w:r>
                                    <w:r w:rsidRPr="00E40726">
                                      <w:rPr>
                                        <w:rFonts w:eastAsia="Times New Roman" w:cstheme="minorHAnsi"/>
                                        <w:b/>
                                        <w:bCs/>
                                        <w:color w:val="00B0F0"/>
                                        <w:lang w:eastAsia="en-GB"/>
                                      </w:rPr>
                                      <w:t>RENT</w:t>
                                    </w:r>
                                  </w:p>
                                  <w:p w14:paraId="3DC7AEE1" w14:textId="4FEB84F7" w:rsidR="009E2189" w:rsidRPr="00E40726" w:rsidRDefault="00A90CB5" w:rsidP="00A90CB5">
                                    <w:pPr>
                                      <w:spacing w:after="0" w:line="360" w:lineRule="auto"/>
                                      <w:jc w:val="both"/>
                                      <w:rPr>
                                        <w:rFonts w:eastAsia="Times New Roman" w:cstheme="minorHAnsi"/>
                                        <w:b/>
                                        <w:color w:val="656565"/>
                                        <w:lang w:eastAsia="en-GB"/>
                                      </w:rPr>
                                    </w:pPr>
                                    <w:r w:rsidRPr="00E40726">
                                      <w:rPr>
                                        <w:rFonts w:eastAsia="Times New Roman" w:cstheme="minorHAnsi"/>
                                        <w:b/>
                                        <w:color w:val="656565"/>
                                        <w:lang w:eastAsia="en-GB"/>
                                      </w:rPr>
                                      <w:br/>
                                      <w:t>The rent can no longer be set at a higher level at the start of the tenancy and reduced at a later date. This is clearly to combat any artificial increase in rent as a way of getting around the ban on fees.</w:t>
                                    </w:r>
                                    <w:r w:rsidRPr="00E40726">
                                      <w:rPr>
                                        <w:rFonts w:eastAsia="Times New Roman" w:cstheme="minorHAnsi"/>
                                        <w:b/>
                                        <w:color w:val="656565"/>
                                        <w:lang w:eastAsia="en-GB"/>
                                      </w:rPr>
                                      <w:br/>
                                      <w:t>There is however nothing to stop a higher rent being charged for the duration of the tenancy</w:t>
                                    </w:r>
                                    <w:r w:rsidR="009E2189" w:rsidRPr="00E40726">
                                      <w:rPr>
                                        <w:rFonts w:eastAsia="Times New Roman" w:cstheme="minorHAnsi"/>
                                        <w:b/>
                                        <w:color w:val="656565"/>
                                        <w:lang w:eastAsia="en-GB"/>
                                      </w:rPr>
                                      <w:t xml:space="preserve"> – which is of course one of the predicted outcomes of the </w:t>
                                    </w:r>
                                    <w:r w:rsidR="00E12271">
                                      <w:rPr>
                                        <w:rFonts w:eastAsia="Times New Roman" w:cstheme="minorHAnsi"/>
                                        <w:b/>
                                        <w:color w:val="656565"/>
                                        <w:lang w:eastAsia="en-GB"/>
                                      </w:rPr>
                                      <w:t>Act</w:t>
                                    </w:r>
                                    <w:r w:rsidR="009E2189" w:rsidRPr="00E40726">
                                      <w:rPr>
                                        <w:rFonts w:eastAsia="Times New Roman" w:cstheme="minorHAnsi"/>
                                        <w:b/>
                                        <w:color w:val="656565"/>
                                        <w:lang w:eastAsia="en-GB"/>
                                      </w:rPr>
                                      <w:t xml:space="preserve">. </w:t>
                                    </w:r>
                                  </w:p>
                                  <w:p w14:paraId="3C794249" w14:textId="77777777" w:rsidR="009E2189" w:rsidRPr="00E40726" w:rsidRDefault="009E2189" w:rsidP="00A90CB5">
                                    <w:pPr>
                                      <w:spacing w:after="0" w:line="360" w:lineRule="auto"/>
                                      <w:jc w:val="both"/>
                                      <w:rPr>
                                        <w:rFonts w:eastAsia="Times New Roman" w:cstheme="minorHAnsi"/>
                                        <w:b/>
                                        <w:color w:val="656565"/>
                                        <w:lang w:eastAsia="en-GB"/>
                                      </w:rPr>
                                    </w:pPr>
                                  </w:p>
                                  <w:p w14:paraId="3C77237C" w14:textId="5AEDEB82" w:rsidR="00ED4541" w:rsidRPr="00E40726" w:rsidRDefault="009E2189" w:rsidP="009E2189">
                                    <w:pPr>
                                      <w:spacing w:after="0" w:line="360" w:lineRule="auto"/>
                                      <w:jc w:val="both"/>
                                      <w:rPr>
                                        <w:rFonts w:eastAsia="Times New Roman" w:cstheme="minorHAnsi"/>
                                        <w:b/>
                                        <w:color w:val="656565"/>
                                        <w:lang w:eastAsia="en-GB"/>
                                      </w:rPr>
                                    </w:pPr>
                                    <w:r w:rsidRPr="00E40726">
                                      <w:rPr>
                                        <w:rFonts w:eastAsia="Times New Roman" w:cstheme="minorHAnsi"/>
                                        <w:b/>
                                        <w:color w:val="656565"/>
                                        <w:lang w:eastAsia="en-GB"/>
                                      </w:rPr>
                                      <w:t>The Government Gu</w:t>
                                    </w:r>
                                    <w:r w:rsidR="00ED4541" w:rsidRPr="00E40726">
                                      <w:rPr>
                                        <w:rFonts w:eastAsia="Times New Roman" w:cstheme="minorHAnsi"/>
                                        <w:b/>
                                        <w:color w:val="656565"/>
                                        <w:lang w:eastAsia="en-GB"/>
                                      </w:rPr>
                                      <w:t xml:space="preserve">ide specifically states: </w:t>
                                    </w:r>
                                  </w:p>
                                  <w:p w14:paraId="2B91642A" w14:textId="77777777" w:rsidR="00ED4541" w:rsidRPr="00E40726" w:rsidRDefault="00ED4541" w:rsidP="009E2189">
                                    <w:pPr>
                                      <w:spacing w:after="0" w:line="360" w:lineRule="auto"/>
                                      <w:jc w:val="both"/>
                                      <w:rPr>
                                        <w:rFonts w:eastAsia="Times New Roman" w:cstheme="minorHAnsi"/>
                                        <w:b/>
                                        <w:color w:val="656565"/>
                                        <w:lang w:eastAsia="en-GB"/>
                                      </w:rPr>
                                    </w:pPr>
                                  </w:p>
                                  <w:p w14:paraId="3D8FD881" w14:textId="16F12723" w:rsidR="009E2189" w:rsidRPr="00E40726" w:rsidRDefault="00ED4541" w:rsidP="009E2189">
                                    <w:pPr>
                                      <w:spacing w:after="0" w:line="360" w:lineRule="auto"/>
                                      <w:jc w:val="both"/>
                                      <w:rPr>
                                        <w:rFonts w:eastAsia="Times New Roman" w:cstheme="minorHAnsi"/>
                                        <w:b/>
                                        <w:i/>
                                        <w:color w:val="656565"/>
                                        <w:lang w:eastAsia="en-GB"/>
                                      </w:rPr>
                                    </w:pPr>
                                    <w:r w:rsidRPr="00E40726">
                                      <w:rPr>
                                        <w:rFonts w:eastAsia="Times New Roman" w:cstheme="minorHAnsi"/>
                                        <w:b/>
                                        <w:i/>
                                        <w:color w:val="656565"/>
                                        <w:lang w:eastAsia="en-GB"/>
                                      </w:rPr>
                                      <w:t>“</w:t>
                                    </w:r>
                                    <w:r w:rsidR="009E2189" w:rsidRPr="00E40726">
                                      <w:rPr>
                                        <w:rFonts w:eastAsia="Times New Roman" w:cstheme="minorHAnsi"/>
                                        <w:b/>
                                        <w:i/>
                                        <w:color w:val="656565"/>
                                        <w:lang w:eastAsia="en-GB"/>
                                      </w:rPr>
                                      <w:t xml:space="preserve">The amount charged will usually be equally split across the tenancy. In the first year of the tenancy, you must not charge more at the start of the tenancy compared to a later period. </w:t>
                                    </w:r>
                                  </w:p>
                                  <w:p w14:paraId="52719C36" w14:textId="77777777" w:rsidR="009E2189" w:rsidRPr="00E40726" w:rsidRDefault="009E2189" w:rsidP="009E2189">
                                    <w:pPr>
                                      <w:spacing w:after="0" w:line="360" w:lineRule="auto"/>
                                      <w:jc w:val="both"/>
                                      <w:rPr>
                                        <w:rFonts w:eastAsia="Times New Roman" w:cstheme="minorHAnsi"/>
                                        <w:b/>
                                        <w:i/>
                                        <w:color w:val="656565"/>
                                        <w:lang w:eastAsia="en-GB"/>
                                      </w:rPr>
                                    </w:pPr>
                                    <w:r w:rsidRPr="00E40726">
                                      <w:rPr>
                                        <w:rFonts w:eastAsia="Times New Roman" w:cstheme="minorHAnsi"/>
                                        <w:b/>
                                        <w:i/>
                                        <w:color w:val="656565"/>
                                        <w:lang w:eastAsia="en-GB"/>
                                      </w:rPr>
                                      <w:t xml:space="preserve"> </w:t>
                                    </w:r>
                                  </w:p>
                                  <w:p w14:paraId="0CFC215E" w14:textId="77777777" w:rsidR="001F18BD" w:rsidRDefault="009E2189" w:rsidP="00A90CB5">
                                    <w:pPr>
                                      <w:spacing w:after="0" w:line="360" w:lineRule="auto"/>
                                      <w:jc w:val="both"/>
                                      <w:rPr>
                                        <w:rFonts w:eastAsia="Times New Roman" w:cstheme="minorHAnsi"/>
                                        <w:b/>
                                        <w:i/>
                                        <w:color w:val="656565"/>
                                        <w:lang w:eastAsia="en-GB"/>
                                      </w:rPr>
                                    </w:pPr>
                                    <w:r w:rsidRPr="00E40726">
                                      <w:rPr>
                                        <w:rFonts w:eastAsia="Times New Roman" w:cstheme="minorHAnsi"/>
                                        <w:b/>
                                        <w:i/>
                                        <w:color w:val="656565"/>
                                        <w:lang w:eastAsia="en-GB"/>
                                      </w:rPr>
                                      <w:t>For example, you cannot require a tenant to pay £800 in month one and £500 in month two onwards – the additional excess of £300 in month one will be a prohibited payment. But, if appropriate, you may decrease the rent (without penalty) during the first year if agreed by the tenant once the tenancy has started or under a rent review clause that enables bo</w:t>
                                    </w:r>
                                    <w:r w:rsidR="00ED4541" w:rsidRPr="00E40726">
                                      <w:rPr>
                                        <w:rFonts w:eastAsia="Times New Roman" w:cstheme="minorHAnsi"/>
                                        <w:b/>
                                        <w:i/>
                                        <w:color w:val="656565"/>
                                        <w:lang w:eastAsia="en-GB"/>
                                      </w:rPr>
                                      <w:t>th rent increases and decreases.”</w:t>
                                    </w:r>
                                    <w:r w:rsidRPr="00E40726">
                                      <w:rPr>
                                        <w:rFonts w:eastAsia="Times New Roman" w:cstheme="minorHAnsi"/>
                                        <w:b/>
                                        <w:i/>
                                        <w:color w:val="656565"/>
                                        <w:lang w:eastAsia="en-GB"/>
                                      </w:rPr>
                                      <w:t xml:space="preserve">  </w:t>
                                    </w:r>
                                  </w:p>
                                  <w:p w14:paraId="2978CC3B" w14:textId="7D0A3E12" w:rsidR="00296998" w:rsidRPr="001F18BD" w:rsidRDefault="00A90CB5" w:rsidP="00A90CB5">
                                    <w:pPr>
                                      <w:spacing w:after="0" w:line="360" w:lineRule="auto"/>
                                      <w:jc w:val="both"/>
                                      <w:rPr>
                                        <w:rFonts w:eastAsia="Times New Roman" w:cstheme="minorHAnsi"/>
                                        <w:b/>
                                        <w:i/>
                                        <w:color w:val="656565"/>
                                        <w:lang w:eastAsia="en-GB"/>
                                      </w:rPr>
                                    </w:pPr>
                                    <w:r w:rsidRPr="00E40726">
                                      <w:rPr>
                                        <w:rFonts w:eastAsia="Times New Roman" w:cstheme="minorHAnsi"/>
                                        <w:b/>
                                        <w:color w:val="656565"/>
                                        <w:lang w:eastAsia="en-GB"/>
                                      </w:rPr>
                                      <w:br/>
                                    </w:r>
                                    <w:r w:rsidRPr="00E40726">
                                      <w:rPr>
                                        <w:rFonts w:eastAsia="Times New Roman" w:cstheme="minorHAnsi"/>
                                        <w:b/>
                                        <w:bCs/>
                                        <w:color w:val="00B0F0"/>
                                        <w:lang w:eastAsia="en-GB"/>
                                      </w:rPr>
                                      <w:t>DEPOSITS</w:t>
                                    </w:r>
                                  </w:p>
                                  <w:p w14:paraId="1A806CD3" w14:textId="1A3FC6D5" w:rsidR="00A90CB5" w:rsidRPr="00E40726" w:rsidRDefault="00A90CB5" w:rsidP="00A90CB5">
                                    <w:pPr>
                                      <w:spacing w:after="0" w:line="360" w:lineRule="auto"/>
                                      <w:jc w:val="both"/>
                                      <w:rPr>
                                        <w:rFonts w:eastAsia="Times New Roman" w:cstheme="minorHAnsi"/>
                                        <w:b/>
                                        <w:color w:val="656565"/>
                                        <w:lang w:eastAsia="en-GB"/>
                                      </w:rPr>
                                    </w:pPr>
                                    <w:r w:rsidRPr="00E40726">
                                      <w:rPr>
                                        <w:rFonts w:eastAsia="Times New Roman" w:cstheme="minorHAnsi"/>
                                        <w:b/>
                                        <w:color w:val="656565"/>
                                        <w:lang w:eastAsia="en-GB"/>
                                      </w:rPr>
                                      <w:br/>
                                      <w:t xml:space="preserve">Deposits will be limited to </w:t>
                                    </w:r>
                                    <w:r w:rsidRPr="00E40726">
                                      <w:rPr>
                                        <w:rFonts w:eastAsia="Times New Roman" w:cstheme="minorHAnsi"/>
                                        <w:b/>
                                        <w:bCs/>
                                        <w:color w:val="656565"/>
                                        <w:lang w:eastAsia="en-GB"/>
                                      </w:rPr>
                                      <w:t>5 weeks rent</w:t>
                                    </w:r>
                                    <w:r w:rsidRPr="00E40726">
                                      <w:rPr>
                                        <w:rFonts w:eastAsia="Times New Roman" w:cstheme="minorHAnsi"/>
                                        <w:b/>
                                        <w:color w:val="656565"/>
                                        <w:lang w:eastAsia="en-GB"/>
                                      </w:rPr>
                                      <w:t xml:space="preserve"> for tenancies where the annual rent is below £50,000. This has increased (slightly) from the proposed one months’ rent. Deposits for tenancies where the annual rent is £50,000 or more are limited to the equivalent of </w:t>
                                    </w:r>
                                    <w:r w:rsidRPr="00E40726">
                                      <w:rPr>
                                        <w:rFonts w:eastAsia="Times New Roman" w:cstheme="minorHAnsi"/>
                                        <w:b/>
                                        <w:bCs/>
                                        <w:color w:val="656565"/>
                                        <w:lang w:eastAsia="en-GB"/>
                                      </w:rPr>
                                      <w:t>6 weeks rent</w:t>
                                    </w:r>
                                    <w:r w:rsidRPr="00E40726">
                                      <w:rPr>
                                        <w:rFonts w:eastAsia="Times New Roman" w:cstheme="minorHAnsi"/>
                                        <w:b/>
                                        <w:color w:val="656565"/>
                                        <w:lang w:eastAsia="en-GB"/>
                                      </w:rPr>
                                      <w:t>.</w:t>
                                    </w:r>
                                  </w:p>
                                  <w:p w14:paraId="5CF37DF8" w14:textId="77777777" w:rsidR="00ED4541" w:rsidRPr="00E40726" w:rsidRDefault="00ED4541" w:rsidP="00A90CB5">
                                    <w:pPr>
                                      <w:spacing w:after="0" w:line="360" w:lineRule="auto"/>
                                      <w:jc w:val="both"/>
                                      <w:rPr>
                                        <w:rFonts w:eastAsia="Times New Roman" w:cstheme="minorHAnsi"/>
                                        <w:b/>
                                        <w:color w:val="656565"/>
                                        <w:lang w:eastAsia="en-GB"/>
                                      </w:rPr>
                                    </w:pPr>
                                  </w:p>
                                  <w:p w14:paraId="0434734E" w14:textId="660FFC2C" w:rsidR="00ED4541" w:rsidRPr="00E40726" w:rsidRDefault="00ED4541" w:rsidP="00A90CB5">
                                    <w:pPr>
                                      <w:spacing w:after="0" w:line="360" w:lineRule="auto"/>
                                      <w:jc w:val="both"/>
                                      <w:rPr>
                                        <w:rFonts w:eastAsia="Times New Roman" w:cstheme="minorHAnsi"/>
                                        <w:b/>
                                        <w:color w:val="656565"/>
                                        <w:lang w:eastAsia="en-GB"/>
                                      </w:rPr>
                                    </w:pPr>
                                    <w:r w:rsidRPr="00E40726">
                                      <w:rPr>
                                        <w:rFonts w:eastAsia="Times New Roman" w:cstheme="minorHAnsi"/>
                                        <w:b/>
                                        <w:color w:val="656565"/>
                                        <w:lang w:eastAsia="en-GB"/>
                                      </w:rPr>
                                      <w:t xml:space="preserve">The Government Guide shed little further light on this aspect of the ban – most probably because it is the most straightforward of the exemptions. The guide simply states: </w:t>
                                    </w:r>
                                  </w:p>
                                  <w:p w14:paraId="6B383380" w14:textId="77777777" w:rsidR="00ED4541" w:rsidRPr="00E40726" w:rsidRDefault="00ED4541" w:rsidP="00A90CB5">
                                    <w:pPr>
                                      <w:spacing w:after="0" w:line="360" w:lineRule="auto"/>
                                      <w:jc w:val="both"/>
                                      <w:rPr>
                                        <w:rFonts w:eastAsia="Times New Roman" w:cstheme="minorHAnsi"/>
                                        <w:b/>
                                        <w:color w:val="656565"/>
                                        <w:lang w:eastAsia="en-GB"/>
                                      </w:rPr>
                                    </w:pPr>
                                  </w:p>
                                  <w:p w14:paraId="16F93BB9" w14:textId="1F259889" w:rsidR="00ED4541" w:rsidRPr="00E40726" w:rsidRDefault="00ED4541" w:rsidP="00ED4541">
                                    <w:pPr>
                                      <w:spacing w:after="0" w:line="360" w:lineRule="auto"/>
                                      <w:jc w:val="both"/>
                                      <w:rPr>
                                        <w:rFonts w:eastAsia="Times New Roman" w:cstheme="minorHAnsi"/>
                                        <w:b/>
                                        <w:i/>
                                        <w:color w:val="656565"/>
                                        <w:lang w:eastAsia="en-GB"/>
                                      </w:rPr>
                                    </w:pPr>
                                    <w:r w:rsidRPr="00E40726">
                                      <w:rPr>
                                        <w:rFonts w:eastAsia="Times New Roman" w:cstheme="minorHAnsi"/>
                                        <w:b/>
                                        <w:i/>
                                        <w:color w:val="656565"/>
                                        <w:lang w:eastAsia="en-GB"/>
                                      </w:rPr>
                                      <w:t xml:space="preserve">“You may ask a tenant to pay a tenancy deposit as security for the performance of any obligations, or the discharge of any liability arising under or in connection with the tenancy for example in case of any damage or unpaid rent or bills at the end of the tenancy. You are not legally required to take a deposit. In any case, you must not ask for a deposit which is more than five weeks’ rent where the annual rent is less than £50,000. If the annual rent is £50,000 or greater the tenancy deposit is capped six weeks’ rent. Any amount above this will be a prohibited payment. </w:t>
                                    </w:r>
                                  </w:p>
                                  <w:p w14:paraId="7274D444" w14:textId="77777777" w:rsidR="00ED4541" w:rsidRPr="00E40726" w:rsidRDefault="00ED4541" w:rsidP="00ED4541">
                                    <w:pPr>
                                      <w:spacing w:after="0" w:line="360" w:lineRule="auto"/>
                                      <w:jc w:val="both"/>
                                      <w:rPr>
                                        <w:rFonts w:eastAsia="Times New Roman" w:cstheme="minorHAnsi"/>
                                        <w:b/>
                                        <w:i/>
                                        <w:color w:val="656565"/>
                                        <w:lang w:eastAsia="en-GB"/>
                                      </w:rPr>
                                    </w:pPr>
                                    <w:r w:rsidRPr="00E40726">
                                      <w:rPr>
                                        <w:rFonts w:eastAsia="Times New Roman" w:cstheme="minorHAnsi"/>
                                        <w:b/>
                                        <w:i/>
                                        <w:color w:val="656565"/>
                                        <w:lang w:eastAsia="en-GB"/>
                                      </w:rPr>
                                      <w:lastRenderedPageBreak/>
                                      <w:t xml:space="preserve"> </w:t>
                                    </w:r>
                                  </w:p>
                                  <w:p w14:paraId="75A1B5A6" w14:textId="70FE2343" w:rsidR="00ED4541" w:rsidRPr="00E40726" w:rsidRDefault="00ED4541" w:rsidP="00ED4541">
                                    <w:pPr>
                                      <w:spacing w:after="0" w:line="360" w:lineRule="auto"/>
                                      <w:jc w:val="both"/>
                                      <w:rPr>
                                        <w:rFonts w:eastAsia="Times New Roman" w:cstheme="minorHAnsi"/>
                                        <w:b/>
                                        <w:color w:val="656565"/>
                                        <w:lang w:eastAsia="en-GB"/>
                                      </w:rPr>
                                    </w:pPr>
                                    <w:r w:rsidRPr="00E40726">
                                      <w:rPr>
                                        <w:rFonts w:eastAsia="Times New Roman" w:cstheme="minorHAnsi"/>
                                        <w:b/>
                                        <w:i/>
                                        <w:color w:val="656565"/>
                                        <w:lang w:eastAsia="en-GB"/>
                                      </w:rPr>
                                      <w:t>Any deposit you request must usually be protected in one of the three Government backed tenancy deposit schemes within 30 days of taking the payment. You must provide the tenant with information as to where and how their deposit is protected. The deposit is the tenant’s money and you will need to provide evidence to substantiate any deductions from the deposit at the end of the tenancy if challenged.”</w:t>
                                    </w:r>
                                  </w:p>
                                  <w:p w14:paraId="00599378" w14:textId="77777777" w:rsidR="00ED4541" w:rsidRPr="00E40726" w:rsidRDefault="00ED4541" w:rsidP="00ED4541">
                                    <w:pPr>
                                      <w:spacing w:after="0" w:line="360" w:lineRule="auto"/>
                                      <w:jc w:val="both"/>
                                      <w:rPr>
                                        <w:rFonts w:eastAsia="Times New Roman" w:cstheme="minorHAnsi"/>
                                        <w:b/>
                                        <w:color w:val="656565"/>
                                        <w:lang w:eastAsia="en-GB"/>
                                      </w:rPr>
                                    </w:pPr>
                                  </w:p>
                                  <w:p w14:paraId="77D2A70E" w14:textId="1369876F" w:rsidR="00ED4541" w:rsidRDefault="00ED4541" w:rsidP="00ED4541">
                                    <w:pPr>
                                      <w:spacing w:after="0" w:line="360" w:lineRule="auto"/>
                                      <w:jc w:val="both"/>
                                      <w:rPr>
                                        <w:rFonts w:eastAsia="Times New Roman" w:cstheme="minorHAnsi"/>
                                        <w:b/>
                                        <w:color w:val="656565"/>
                                        <w:lang w:eastAsia="en-GB"/>
                                      </w:rPr>
                                    </w:pPr>
                                    <w:r w:rsidRPr="00E40726">
                                      <w:rPr>
                                        <w:rFonts w:eastAsia="Times New Roman" w:cstheme="minorHAnsi"/>
                                        <w:b/>
                                        <w:color w:val="656565"/>
                                        <w:lang w:eastAsia="en-GB"/>
                                      </w:rPr>
                                      <w:t xml:space="preserve">This is nothing new of course. One important change to note is that you cannot therefore add on a pet deposit which takes the deposit sum over and above the 5/6 week threshold. </w:t>
                                    </w:r>
                                  </w:p>
                                  <w:p w14:paraId="386C8B30" w14:textId="77777777" w:rsidR="006A0DE2" w:rsidRDefault="006A0DE2" w:rsidP="00ED4541">
                                    <w:pPr>
                                      <w:spacing w:after="0" w:line="360" w:lineRule="auto"/>
                                      <w:jc w:val="both"/>
                                      <w:rPr>
                                        <w:rFonts w:eastAsia="Times New Roman" w:cstheme="minorHAnsi"/>
                                        <w:b/>
                                        <w:color w:val="656565"/>
                                        <w:lang w:eastAsia="en-GB"/>
                                      </w:rPr>
                                    </w:pPr>
                                  </w:p>
                                  <w:p w14:paraId="37247034" w14:textId="026EFD0E" w:rsidR="006A0DE2" w:rsidRPr="00E40726" w:rsidRDefault="006A0DE2" w:rsidP="00ED4541">
                                    <w:pPr>
                                      <w:spacing w:after="0" w:line="360" w:lineRule="auto"/>
                                      <w:jc w:val="both"/>
                                      <w:rPr>
                                        <w:rFonts w:eastAsia="Times New Roman" w:cstheme="minorHAnsi"/>
                                        <w:b/>
                                        <w:color w:val="656565"/>
                                        <w:lang w:eastAsia="en-GB"/>
                                      </w:rPr>
                                    </w:pPr>
                                    <w:r>
                                      <w:rPr>
                                        <w:rFonts w:eastAsia="Times New Roman" w:cstheme="minorHAnsi"/>
                                        <w:b/>
                                        <w:color w:val="656565"/>
                                        <w:lang w:eastAsia="en-GB"/>
                                      </w:rPr>
                                      <w:t>The Government Guide (</w:t>
                                    </w:r>
                                    <w:proofErr w:type="spellStart"/>
                                    <w:r>
                                      <w:rPr>
                                        <w:rFonts w:eastAsia="Times New Roman" w:cstheme="minorHAnsi"/>
                                        <w:b/>
                                        <w:color w:val="656565"/>
                                        <w:lang w:eastAsia="en-GB"/>
                                      </w:rPr>
                                      <w:t>pg</w:t>
                                    </w:r>
                                    <w:proofErr w:type="spellEnd"/>
                                    <w:r>
                                      <w:rPr>
                                        <w:rFonts w:eastAsia="Times New Roman" w:cstheme="minorHAnsi"/>
                                        <w:b/>
                                        <w:color w:val="656565"/>
                                        <w:lang w:eastAsia="en-GB"/>
                                      </w:rPr>
                                      <w:t xml:space="preserve"> 32) also provides some useful FAQs on deposit options addressing specifically the use of rent guarantee schemes, bond schemes and deposit replacement products which are all still allowed. One thing to note though is that as the deposit replacement product requires the tenant to pay a fee to a third party you cannot require them to use the product – i</w:t>
                                    </w:r>
                                    <w:r w:rsidR="00E12271">
                                      <w:rPr>
                                        <w:rFonts w:eastAsia="Times New Roman" w:cstheme="minorHAnsi"/>
                                        <w:b/>
                                        <w:color w:val="656565"/>
                                        <w:lang w:eastAsia="en-GB"/>
                                      </w:rPr>
                                      <w:t xml:space="preserve">t must only be an optional fee and they must be given the option of paying a traditional deposit. </w:t>
                                    </w:r>
                                  </w:p>
                                  <w:p w14:paraId="4BDB9223" w14:textId="77777777" w:rsidR="00A90CB5" w:rsidRPr="00E40726" w:rsidRDefault="00A90CB5" w:rsidP="00A90CB5">
                                    <w:pPr>
                                      <w:spacing w:after="0" w:line="360" w:lineRule="auto"/>
                                      <w:jc w:val="both"/>
                                      <w:rPr>
                                        <w:rFonts w:eastAsia="Times New Roman" w:cstheme="minorHAnsi"/>
                                        <w:b/>
                                        <w:bCs/>
                                        <w:color w:val="00B0F0"/>
                                        <w:lang w:eastAsia="en-GB"/>
                                      </w:rPr>
                                    </w:pPr>
                                    <w:r w:rsidRPr="00E40726">
                                      <w:rPr>
                                        <w:rFonts w:eastAsia="Times New Roman" w:cstheme="minorHAnsi"/>
                                        <w:b/>
                                        <w:color w:val="00B0F0"/>
                                        <w:lang w:eastAsia="en-GB"/>
                                      </w:rPr>
                                      <w:br/>
                                    </w:r>
                                    <w:r w:rsidRPr="00E40726">
                                      <w:rPr>
                                        <w:rFonts w:eastAsia="Times New Roman" w:cstheme="minorHAnsi"/>
                                        <w:b/>
                                        <w:bCs/>
                                        <w:color w:val="00B0F0"/>
                                        <w:lang w:eastAsia="en-GB"/>
                                      </w:rPr>
                                      <w:t>CHARGES FOR DEFAULTING</w:t>
                                    </w:r>
                                  </w:p>
                                  <w:p w14:paraId="3E59D72B" w14:textId="77777777" w:rsidR="008F3378" w:rsidRPr="00E40726" w:rsidRDefault="008F3378" w:rsidP="00A90CB5">
                                    <w:pPr>
                                      <w:spacing w:after="0" w:line="360" w:lineRule="auto"/>
                                      <w:jc w:val="both"/>
                                      <w:rPr>
                                        <w:rFonts w:eastAsia="Times New Roman" w:cstheme="minorHAnsi"/>
                                        <w:b/>
                                        <w:bCs/>
                                        <w:color w:val="00B0F0"/>
                                        <w:lang w:eastAsia="en-GB"/>
                                      </w:rPr>
                                    </w:pPr>
                                  </w:p>
                                  <w:p w14:paraId="418222BE" w14:textId="060BD43E" w:rsidR="00A90CB5" w:rsidRPr="00E40726" w:rsidRDefault="00296998" w:rsidP="00A90CB5">
                                    <w:pPr>
                                      <w:spacing w:after="0" w:line="360" w:lineRule="auto"/>
                                      <w:jc w:val="both"/>
                                      <w:rPr>
                                        <w:rFonts w:eastAsia="Times New Roman" w:cstheme="minorHAnsi"/>
                                        <w:b/>
                                        <w:color w:val="656565"/>
                                        <w:lang w:eastAsia="en-GB"/>
                                      </w:rPr>
                                    </w:pPr>
                                    <w:r>
                                      <w:rPr>
                                        <w:rFonts w:eastAsia="Times New Roman" w:cstheme="minorHAnsi"/>
                                        <w:b/>
                                        <w:color w:val="656565"/>
                                        <w:lang w:eastAsia="en-GB"/>
                                      </w:rPr>
                                      <w:t xml:space="preserve">You </w:t>
                                    </w:r>
                                    <w:r w:rsidR="00A90CB5" w:rsidRPr="00E40726">
                                      <w:rPr>
                                        <w:rFonts w:eastAsia="Times New Roman" w:cstheme="minorHAnsi"/>
                                        <w:b/>
                                        <w:color w:val="656565"/>
                                        <w:lang w:eastAsia="en-GB"/>
                                      </w:rPr>
                                      <w:t>are allowed to charge for two types of default payments - loss of keys and late payment of rent. Both are subject to restrictions</w:t>
                                    </w:r>
                                    <w:r w:rsidR="008F3378" w:rsidRPr="00E40726">
                                      <w:rPr>
                                        <w:rFonts w:eastAsia="Times New Roman" w:cstheme="minorHAnsi"/>
                                        <w:b/>
                                        <w:color w:val="656565"/>
                                        <w:lang w:eastAsia="en-GB"/>
                                      </w:rPr>
                                      <w:t xml:space="preserve"> and must be written into the tenancy agreement</w:t>
                                    </w:r>
                                    <w:r w:rsidR="00A90CB5" w:rsidRPr="00E40726">
                                      <w:rPr>
                                        <w:rFonts w:eastAsia="Times New Roman" w:cstheme="minorHAnsi"/>
                                        <w:b/>
                                        <w:color w:val="656565"/>
                                        <w:lang w:eastAsia="en-GB"/>
                                      </w:rPr>
                                      <w:t xml:space="preserve">: </w:t>
                                    </w:r>
                                  </w:p>
                                  <w:p w14:paraId="60807E47" w14:textId="77777777" w:rsidR="009E2189" w:rsidRPr="00E40726" w:rsidRDefault="009E2189" w:rsidP="00A90CB5">
                                    <w:pPr>
                                      <w:spacing w:after="0" w:line="360" w:lineRule="auto"/>
                                      <w:jc w:val="both"/>
                                      <w:rPr>
                                        <w:rFonts w:eastAsia="Times New Roman" w:cstheme="minorHAnsi"/>
                                        <w:b/>
                                        <w:color w:val="656565"/>
                                        <w:lang w:eastAsia="en-GB"/>
                                      </w:rPr>
                                    </w:pPr>
                                  </w:p>
                                  <w:p w14:paraId="344D8DC3" w14:textId="1140E7FA" w:rsidR="008F3378" w:rsidRPr="00E40726" w:rsidRDefault="00A90CB5" w:rsidP="008F3378">
                                    <w:pPr>
                                      <w:pStyle w:val="ListParagraph"/>
                                      <w:numPr>
                                        <w:ilvl w:val="0"/>
                                        <w:numId w:val="13"/>
                                      </w:numPr>
                                      <w:spacing w:after="0" w:line="360" w:lineRule="auto"/>
                                      <w:jc w:val="both"/>
                                      <w:rPr>
                                        <w:rFonts w:eastAsia="Times New Roman" w:cstheme="minorHAnsi"/>
                                        <w:b/>
                                        <w:color w:val="656565"/>
                                        <w:lang w:eastAsia="en-GB"/>
                                      </w:rPr>
                                    </w:pPr>
                                    <w:r w:rsidRPr="00E40726">
                                      <w:rPr>
                                        <w:rFonts w:eastAsia="Times New Roman" w:cstheme="minorHAnsi"/>
                                        <w:b/>
                                        <w:bCs/>
                                        <w:color w:val="656565"/>
                                        <w:lang w:eastAsia="en-GB"/>
                                      </w:rPr>
                                      <w:t>Loss of keys:</w:t>
                                    </w:r>
                                    <w:r w:rsidRPr="00E40726">
                                      <w:rPr>
                                        <w:rFonts w:eastAsia="Times New Roman" w:cstheme="minorHAnsi"/>
                                        <w:b/>
                                        <w:color w:val="656565"/>
                                        <w:lang w:eastAsia="en-GB"/>
                                      </w:rPr>
                                      <w:t xml:space="preserve"> landlords may charge a </w:t>
                                    </w:r>
                                    <w:r w:rsidRPr="00E40726">
                                      <w:rPr>
                                        <w:rFonts w:eastAsia="Times New Roman" w:cstheme="minorHAnsi"/>
                                        <w:b/>
                                        <w:bCs/>
                                        <w:color w:val="656565"/>
                                        <w:lang w:eastAsia="en-GB"/>
                                      </w:rPr>
                                      <w:t>reasonable cost</w:t>
                                    </w:r>
                                    <w:r w:rsidRPr="00E40726">
                                      <w:rPr>
                                        <w:rFonts w:eastAsia="Times New Roman" w:cstheme="minorHAnsi"/>
                                        <w:b/>
                                        <w:color w:val="656565"/>
                                        <w:lang w:eastAsia="en-GB"/>
                                      </w:rPr>
                                      <w:t xml:space="preserve"> that can be evidenced in writing. Anything landlords cannot evidence in writing </w:t>
                                    </w:r>
                                    <w:r w:rsidRPr="00E40726">
                                      <w:rPr>
                                        <w:rFonts w:eastAsia="Times New Roman" w:cstheme="minorHAnsi"/>
                                        <w:b/>
                                        <w:bCs/>
                                        <w:color w:val="656565"/>
                                        <w:lang w:eastAsia="en-GB"/>
                                      </w:rPr>
                                      <w:t>with receipts</w:t>
                                    </w:r>
                                    <w:r w:rsidRPr="00E40726">
                                      <w:rPr>
                                        <w:rFonts w:eastAsia="Times New Roman" w:cstheme="minorHAnsi"/>
                                        <w:b/>
                                        <w:color w:val="656565"/>
                                        <w:lang w:eastAsia="en-GB"/>
                                      </w:rPr>
                                      <w:t xml:space="preserve"> will probably be co</w:t>
                                    </w:r>
                                    <w:r w:rsidR="008F3378" w:rsidRPr="00E40726">
                                      <w:rPr>
                                        <w:rFonts w:eastAsia="Times New Roman" w:cstheme="minorHAnsi"/>
                                        <w:b/>
                                        <w:color w:val="656565"/>
                                        <w:lang w:eastAsia="en-GB"/>
                                      </w:rPr>
                                      <w:t>nsidered a prohibited payment.</w:t>
                                    </w:r>
                                    <w:r w:rsidR="003E6229" w:rsidRPr="00E40726">
                                      <w:rPr>
                                        <w:rFonts w:eastAsia="Times New Roman" w:cstheme="minorHAnsi"/>
                                        <w:b/>
                                        <w:color w:val="656565"/>
                                        <w:lang w:eastAsia="en-GB"/>
                                      </w:rPr>
                                      <w:t xml:space="preserve"> This also includes other “security device” which gives access to the housing. </w:t>
                                    </w:r>
                                  </w:p>
                                  <w:p w14:paraId="3D969E31" w14:textId="77777777" w:rsidR="008F3378" w:rsidRPr="00E40726" w:rsidRDefault="008F3378" w:rsidP="008F3378">
                                    <w:pPr>
                                      <w:pStyle w:val="ListParagraph"/>
                                      <w:spacing w:after="0" w:line="360" w:lineRule="auto"/>
                                      <w:jc w:val="both"/>
                                      <w:rPr>
                                        <w:rFonts w:eastAsia="Times New Roman" w:cstheme="minorHAnsi"/>
                                        <w:b/>
                                        <w:color w:val="656565"/>
                                        <w:lang w:eastAsia="en-GB"/>
                                      </w:rPr>
                                    </w:pPr>
                                  </w:p>
                                  <w:p w14:paraId="387BA2E6" w14:textId="03F239B7" w:rsidR="00A90CB5" w:rsidRPr="00E40726" w:rsidRDefault="00A90CB5" w:rsidP="008F3378">
                                    <w:pPr>
                                      <w:pStyle w:val="ListParagraph"/>
                                      <w:numPr>
                                        <w:ilvl w:val="0"/>
                                        <w:numId w:val="13"/>
                                      </w:numPr>
                                      <w:spacing w:after="0" w:line="360" w:lineRule="auto"/>
                                      <w:jc w:val="both"/>
                                      <w:rPr>
                                        <w:rFonts w:eastAsia="Times New Roman" w:cstheme="minorHAnsi"/>
                                        <w:b/>
                                        <w:color w:val="656565"/>
                                        <w:lang w:eastAsia="en-GB"/>
                                      </w:rPr>
                                    </w:pPr>
                                    <w:r w:rsidRPr="00E40726">
                                      <w:rPr>
                                        <w:rFonts w:eastAsia="Times New Roman" w:cstheme="minorHAnsi"/>
                                        <w:b/>
                                        <w:bCs/>
                                        <w:color w:val="656565"/>
                                        <w:lang w:eastAsia="en-GB"/>
                                      </w:rPr>
                                      <w:t>Late payment of rent</w:t>
                                    </w:r>
                                    <w:r w:rsidRPr="00E40726">
                                      <w:rPr>
                                        <w:rFonts w:eastAsia="Times New Roman" w:cstheme="minorHAnsi"/>
                                        <w:b/>
                                        <w:color w:val="656565"/>
                                        <w:lang w:eastAsia="en-GB"/>
                                      </w:rPr>
                                      <w:t xml:space="preserve">: landlords and agents may only charge interest at </w:t>
                                    </w:r>
                                    <w:r w:rsidRPr="00E40726">
                                      <w:rPr>
                                        <w:rFonts w:eastAsia="Times New Roman" w:cstheme="minorHAnsi"/>
                                        <w:b/>
                                        <w:bCs/>
                                        <w:color w:val="656565"/>
                                        <w:lang w:eastAsia="en-GB"/>
                                      </w:rPr>
                                      <w:t>3% above the Bank of England base rate</w:t>
                                    </w:r>
                                    <w:r w:rsidRPr="00E40726">
                                      <w:rPr>
                                        <w:rFonts w:eastAsia="Times New Roman" w:cstheme="minorHAnsi"/>
                                        <w:b/>
                                        <w:color w:val="656565"/>
                                        <w:lang w:eastAsia="en-GB"/>
                                      </w:rPr>
                                      <w:t xml:space="preserve"> on the late payment of rent from the date the payment is missed. </w:t>
                                    </w:r>
                                    <w:r w:rsidR="002975CC" w:rsidRPr="00E40726">
                                      <w:rPr>
                                        <w:rFonts w:eastAsia="Times New Roman" w:cstheme="minorHAnsi"/>
                                        <w:b/>
                                        <w:color w:val="656565"/>
                                        <w:lang w:eastAsia="en-GB"/>
                                      </w:rPr>
                                      <w:t xml:space="preserve">This charge can also only be levied for rent which is more than 14 days overdue. </w:t>
                                    </w:r>
                                    <w:r w:rsidRPr="00E40726">
                                      <w:rPr>
                                        <w:rFonts w:eastAsia="Times New Roman" w:cstheme="minorHAnsi"/>
                                        <w:b/>
                                        <w:color w:val="656565"/>
                                        <w:lang w:eastAsia="en-GB"/>
                                      </w:rPr>
                                      <w:t>You cannot charge for sending reminder letters nor can you include fixed charges.</w:t>
                                    </w:r>
                                    <w:r w:rsidR="003E6229" w:rsidRPr="00E40726">
                                      <w:rPr>
                                        <w:rFonts w:eastAsia="Times New Roman" w:cstheme="minorHAnsi"/>
                                        <w:b/>
                                        <w:color w:val="656565"/>
                                        <w:lang w:eastAsia="en-GB"/>
                                      </w:rPr>
                                      <w:t xml:space="preserve"> </w:t>
                                    </w:r>
                                  </w:p>
                                  <w:p w14:paraId="1B27EB68" w14:textId="77777777" w:rsidR="003E6229" w:rsidRPr="00E40726" w:rsidRDefault="003E6229" w:rsidP="003E6229">
                                    <w:pPr>
                                      <w:pStyle w:val="ListParagraph"/>
                                      <w:rPr>
                                        <w:rFonts w:eastAsia="Times New Roman" w:cstheme="minorHAnsi"/>
                                        <w:b/>
                                        <w:color w:val="656565"/>
                                        <w:lang w:eastAsia="en-GB"/>
                                      </w:rPr>
                                    </w:pPr>
                                  </w:p>
                                  <w:p w14:paraId="3C260F5B" w14:textId="04A67889" w:rsidR="003E6229" w:rsidRPr="00E40726" w:rsidRDefault="003E6229" w:rsidP="003E6229">
                                    <w:pPr>
                                      <w:spacing w:after="0" w:line="360" w:lineRule="auto"/>
                                      <w:jc w:val="both"/>
                                      <w:rPr>
                                        <w:rFonts w:eastAsia="Times New Roman" w:cstheme="minorHAnsi"/>
                                        <w:b/>
                                        <w:color w:val="656565"/>
                                        <w:lang w:eastAsia="en-GB"/>
                                      </w:rPr>
                                    </w:pPr>
                                    <w:r w:rsidRPr="00E40726">
                                      <w:rPr>
                                        <w:rFonts w:eastAsia="Times New Roman" w:cstheme="minorHAnsi"/>
                                        <w:b/>
                                        <w:color w:val="656565"/>
                                        <w:lang w:eastAsia="en-GB"/>
                                      </w:rPr>
                                      <w:t xml:space="preserve">The Government Guide states that: </w:t>
                                    </w:r>
                                  </w:p>
                                  <w:p w14:paraId="6B94E3D6" w14:textId="77777777" w:rsidR="003E6229" w:rsidRPr="00E40726" w:rsidRDefault="003E6229" w:rsidP="003E6229">
                                    <w:pPr>
                                      <w:pStyle w:val="ListParagraph"/>
                                      <w:spacing w:after="0" w:line="360" w:lineRule="auto"/>
                                      <w:jc w:val="both"/>
                                      <w:rPr>
                                        <w:rFonts w:eastAsia="Times New Roman" w:cstheme="minorHAnsi"/>
                                        <w:b/>
                                        <w:color w:val="656565"/>
                                        <w:lang w:eastAsia="en-GB"/>
                                      </w:rPr>
                                    </w:pPr>
                                  </w:p>
                                  <w:p w14:paraId="41287942" w14:textId="2D941C0D" w:rsidR="008F3378" w:rsidRPr="00E40726" w:rsidRDefault="003E6229" w:rsidP="008F3378">
                                    <w:pPr>
                                      <w:spacing w:after="0" w:line="360" w:lineRule="auto"/>
                                      <w:jc w:val="both"/>
                                      <w:rPr>
                                        <w:rFonts w:eastAsia="Times New Roman" w:cstheme="minorHAnsi"/>
                                        <w:b/>
                                        <w:i/>
                                        <w:color w:val="656565"/>
                                        <w:lang w:eastAsia="en-GB"/>
                                      </w:rPr>
                                    </w:pPr>
                                    <w:r w:rsidRPr="00E40726">
                                      <w:rPr>
                                        <w:rFonts w:eastAsia="Times New Roman" w:cstheme="minorHAnsi"/>
                                        <w:b/>
                                        <w:i/>
                                        <w:color w:val="656565"/>
                                        <w:lang w:eastAsia="en-GB"/>
                                      </w:rPr>
                                      <w:lastRenderedPageBreak/>
                                      <w:t>“</w:t>
                                    </w:r>
                                    <w:r w:rsidR="008F3378" w:rsidRPr="00E40726">
                                      <w:rPr>
                                        <w:rFonts w:eastAsia="Times New Roman" w:cstheme="minorHAnsi"/>
                                        <w:b/>
                                        <w:i/>
                                        <w:color w:val="656565"/>
                                        <w:lang w:eastAsia="en-GB"/>
                                      </w:rPr>
                                      <w:t>The fee will be a prohibited payment where this exceeds interest at more than 3% above the Bank of England’s annual percentage rate for each day that the payment is outstanding (for a late rent payment) or the reasonable costs incurred by the landlord or agent (for a replacement key/security device). The Act does not affect any entitlement to recover damages for breach of contract</w:t>
                                    </w:r>
                                    <w:r w:rsidRPr="00E40726">
                                      <w:rPr>
                                        <w:rFonts w:eastAsia="Times New Roman" w:cstheme="minorHAnsi"/>
                                        <w:b/>
                                        <w:i/>
                                        <w:color w:val="656565"/>
                                        <w:lang w:eastAsia="en-GB"/>
                                      </w:rPr>
                                      <w:t xml:space="preserve">”. </w:t>
                                    </w:r>
                                  </w:p>
                                  <w:p w14:paraId="77CA057D" w14:textId="64022919" w:rsidR="003E6229" w:rsidRPr="00E40726" w:rsidRDefault="00A90CB5" w:rsidP="007E1F9A">
                                    <w:pPr>
                                      <w:spacing w:after="0" w:line="360" w:lineRule="auto"/>
                                      <w:jc w:val="both"/>
                                      <w:rPr>
                                        <w:rFonts w:eastAsia="Times New Roman" w:cstheme="minorHAnsi"/>
                                        <w:b/>
                                        <w:color w:val="00B0F0"/>
                                        <w:lang w:eastAsia="en-GB"/>
                                      </w:rPr>
                                    </w:pPr>
                                    <w:r w:rsidRPr="00E40726">
                                      <w:rPr>
                                        <w:rFonts w:eastAsia="Times New Roman" w:cstheme="minorHAnsi"/>
                                        <w:b/>
                                        <w:color w:val="656565"/>
                                        <w:lang w:eastAsia="en-GB"/>
                                      </w:rPr>
                                      <w:br/>
                                    </w:r>
                                    <w:r w:rsidR="00716624" w:rsidRPr="00E40726">
                                      <w:rPr>
                                        <w:rFonts w:eastAsia="Times New Roman" w:cstheme="minorHAnsi"/>
                                        <w:b/>
                                        <w:color w:val="00B0F0"/>
                                        <w:lang w:eastAsia="en-GB"/>
                                      </w:rPr>
                                      <w:t>CHANGES TO THE TENANCY</w:t>
                                    </w:r>
                                  </w:p>
                                  <w:p w14:paraId="148AE763" w14:textId="77777777" w:rsidR="003E6229" w:rsidRPr="00E40726" w:rsidRDefault="003E6229" w:rsidP="00A90CB5">
                                    <w:pPr>
                                      <w:spacing w:after="0" w:line="360" w:lineRule="auto"/>
                                      <w:rPr>
                                        <w:rFonts w:eastAsia="Times New Roman" w:cstheme="minorHAnsi"/>
                                        <w:b/>
                                        <w:color w:val="00B0F0"/>
                                        <w:lang w:eastAsia="en-GB"/>
                                      </w:rPr>
                                    </w:pPr>
                                  </w:p>
                                  <w:p w14:paraId="054CF8AD" w14:textId="3FDD59CC" w:rsidR="003E6229" w:rsidRPr="00E40726" w:rsidRDefault="003E6229" w:rsidP="003E6229">
                                    <w:pPr>
                                      <w:spacing w:after="0" w:line="360" w:lineRule="auto"/>
                                      <w:jc w:val="both"/>
                                      <w:rPr>
                                        <w:rFonts w:eastAsia="Times New Roman" w:cstheme="minorHAnsi"/>
                                        <w:b/>
                                        <w:color w:val="656565"/>
                                        <w:lang w:eastAsia="en-GB"/>
                                      </w:rPr>
                                    </w:pPr>
                                    <w:r w:rsidRPr="00E40726">
                                      <w:rPr>
                                        <w:rFonts w:eastAsia="Times New Roman" w:cstheme="minorHAnsi"/>
                                        <w:b/>
                                        <w:color w:val="656565"/>
                                        <w:lang w:eastAsia="en-GB"/>
                                      </w:rPr>
                                      <w:t>Where a tenant requests a change to the tenancy agreement (for example a change of sharer</w:t>
                                    </w:r>
                                    <w:r w:rsidR="001270DD">
                                      <w:rPr>
                                        <w:rFonts w:eastAsia="Times New Roman" w:cstheme="minorHAnsi"/>
                                        <w:b/>
                                        <w:color w:val="656565"/>
                                        <w:lang w:eastAsia="en-GB"/>
                                      </w:rPr>
                                      <w:t>, permission to run a business, sublet</w:t>
                                    </w:r>
                                    <w:r w:rsidRPr="00E40726">
                                      <w:rPr>
                                        <w:rFonts w:eastAsia="Times New Roman" w:cstheme="minorHAnsi"/>
                                        <w:b/>
                                        <w:color w:val="656565"/>
                                        <w:lang w:eastAsia="en-GB"/>
                                      </w:rPr>
                                      <w:t xml:space="preserve"> or permission to keep pets on the property) you are entitled to charge up to £50 for the work involved in amending the tenancy agreement or the amount of your reasonabl</w:t>
                                    </w:r>
                                    <w:r w:rsidR="00E12271">
                                      <w:rPr>
                                        <w:rFonts w:eastAsia="Times New Roman" w:cstheme="minorHAnsi"/>
                                        <w:b/>
                                        <w:color w:val="656565"/>
                                        <w:lang w:eastAsia="en-GB"/>
                                      </w:rPr>
                                      <w:t>e costs if these are higher than</w:t>
                                    </w:r>
                                    <w:r w:rsidRPr="00E40726">
                                      <w:rPr>
                                        <w:rFonts w:eastAsia="Times New Roman" w:cstheme="minorHAnsi"/>
                                        <w:b/>
                                        <w:color w:val="656565"/>
                                        <w:lang w:eastAsia="en-GB"/>
                                      </w:rPr>
                                      <w:t xml:space="preserve"> £50. </w:t>
                                    </w:r>
                                  </w:p>
                                  <w:p w14:paraId="36DB6BAC" w14:textId="77777777" w:rsidR="003E6229" w:rsidRPr="00E40726" w:rsidRDefault="003E6229" w:rsidP="003E6229">
                                    <w:pPr>
                                      <w:spacing w:after="0" w:line="360" w:lineRule="auto"/>
                                      <w:jc w:val="both"/>
                                      <w:rPr>
                                        <w:rFonts w:eastAsia="Times New Roman" w:cstheme="minorHAnsi"/>
                                        <w:b/>
                                        <w:color w:val="656565"/>
                                        <w:lang w:eastAsia="en-GB"/>
                                      </w:rPr>
                                    </w:pPr>
                                  </w:p>
                                  <w:p w14:paraId="7AA3E308" w14:textId="77777777" w:rsidR="003E6229" w:rsidRPr="00E40726" w:rsidRDefault="003E6229" w:rsidP="003E6229">
                                    <w:pPr>
                                      <w:spacing w:after="0" w:line="360" w:lineRule="auto"/>
                                      <w:jc w:val="both"/>
                                      <w:rPr>
                                        <w:rFonts w:eastAsia="Times New Roman" w:cstheme="minorHAnsi"/>
                                        <w:b/>
                                        <w:color w:val="656565"/>
                                        <w:lang w:eastAsia="en-GB"/>
                                      </w:rPr>
                                    </w:pPr>
                                    <w:r w:rsidRPr="00E40726">
                                      <w:rPr>
                                        <w:rFonts w:eastAsia="Times New Roman" w:cstheme="minorHAnsi"/>
                                        <w:b/>
                                        <w:color w:val="656565"/>
                                        <w:lang w:eastAsia="en-GB"/>
                                      </w:rPr>
                                      <w:t xml:space="preserve">The Government Guide specifically states: </w:t>
                                    </w:r>
                                  </w:p>
                                  <w:p w14:paraId="3237D8AD" w14:textId="77777777" w:rsidR="003E6229" w:rsidRPr="00E40726" w:rsidRDefault="003E6229" w:rsidP="003E6229">
                                    <w:pPr>
                                      <w:spacing w:after="0" w:line="360" w:lineRule="auto"/>
                                      <w:jc w:val="both"/>
                                      <w:rPr>
                                        <w:rFonts w:eastAsia="Times New Roman" w:cstheme="minorHAnsi"/>
                                        <w:b/>
                                        <w:color w:val="656565"/>
                                        <w:lang w:eastAsia="en-GB"/>
                                      </w:rPr>
                                    </w:pPr>
                                  </w:p>
                                  <w:p w14:paraId="70DDF864" w14:textId="768E1211" w:rsidR="003E6229" w:rsidRPr="00E40726" w:rsidRDefault="003E6229" w:rsidP="003E6229">
                                    <w:pPr>
                                      <w:spacing w:after="0" w:line="360" w:lineRule="auto"/>
                                      <w:jc w:val="both"/>
                                      <w:rPr>
                                        <w:rFonts w:eastAsia="Times New Roman" w:cstheme="minorHAnsi"/>
                                        <w:b/>
                                        <w:i/>
                                        <w:color w:val="656565"/>
                                        <w:lang w:eastAsia="en-GB"/>
                                      </w:rPr>
                                    </w:pPr>
                                    <w:r w:rsidRPr="00E40726">
                                      <w:rPr>
                                        <w:rFonts w:eastAsia="Times New Roman" w:cstheme="minorHAnsi"/>
                                        <w:b/>
                                        <w:i/>
                                        <w:color w:val="656565"/>
                                        <w:lang w:eastAsia="en-GB"/>
                                      </w:rPr>
                                      <w:t xml:space="preserve">“It is good practice for a landlord or agent to agree to reasonable requests to vary the tenancy agreement. The general expectation is that the charge will not exceed £50. You should provide evidence to demonstrate the reasonable costs of carrying out the work if you wish to charge above £50. Any charge that exceeds the reasonable costs you have incurred will be a prohibited payment.  </w:t>
                                    </w:r>
                                  </w:p>
                                  <w:p w14:paraId="31E5AFA4" w14:textId="77777777" w:rsidR="003E6229" w:rsidRPr="00E40726" w:rsidRDefault="003E6229" w:rsidP="003E6229">
                                    <w:pPr>
                                      <w:spacing w:after="0" w:line="360" w:lineRule="auto"/>
                                      <w:jc w:val="both"/>
                                      <w:rPr>
                                        <w:rFonts w:eastAsia="Times New Roman" w:cstheme="minorHAnsi"/>
                                        <w:b/>
                                        <w:i/>
                                        <w:color w:val="656565"/>
                                        <w:lang w:eastAsia="en-GB"/>
                                      </w:rPr>
                                    </w:pPr>
                                  </w:p>
                                  <w:p w14:paraId="0E8EFD62" w14:textId="538FEC90" w:rsidR="003E6229" w:rsidRPr="00E40726" w:rsidRDefault="003E6229" w:rsidP="003E6229">
                                    <w:pPr>
                                      <w:spacing w:after="0" w:line="360" w:lineRule="auto"/>
                                      <w:jc w:val="both"/>
                                      <w:rPr>
                                        <w:rFonts w:eastAsia="Times New Roman" w:cstheme="minorHAnsi"/>
                                        <w:b/>
                                        <w:color w:val="656565"/>
                                        <w:lang w:eastAsia="en-GB"/>
                                      </w:rPr>
                                    </w:pPr>
                                    <w:r w:rsidRPr="00E40726">
                                      <w:rPr>
                                        <w:rFonts w:eastAsia="Times New Roman" w:cstheme="minorHAnsi"/>
                                        <w:b/>
                                        <w:color w:val="656565"/>
                                        <w:lang w:eastAsia="en-GB"/>
                                      </w:rPr>
                                      <w:t xml:space="preserve">The Government Guide goes on to make it clear that extension to terms or renewals do not fall under this category of exempt payments. </w:t>
                                    </w:r>
                                  </w:p>
                                  <w:p w14:paraId="1BEBDB23" w14:textId="77777777" w:rsidR="003E6229" w:rsidRPr="00E40726" w:rsidRDefault="003E6229" w:rsidP="003E6229">
                                    <w:pPr>
                                      <w:spacing w:after="0" w:line="360" w:lineRule="auto"/>
                                      <w:jc w:val="both"/>
                                      <w:rPr>
                                        <w:rFonts w:eastAsia="Times New Roman" w:cstheme="minorHAnsi"/>
                                        <w:b/>
                                        <w:i/>
                                        <w:color w:val="656565"/>
                                        <w:lang w:eastAsia="en-GB"/>
                                      </w:rPr>
                                    </w:pPr>
                                  </w:p>
                                  <w:p w14:paraId="1C4193F6" w14:textId="00B4C491" w:rsidR="003E6229" w:rsidRPr="00E40726" w:rsidRDefault="003E6229" w:rsidP="003E6229">
                                    <w:pPr>
                                      <w:spacing w:after="0" w:line="360" w:lineRule="auto"/>
                                      <w:jc w:val="both"/>
                                      <w:rPr>
                                        <w:rFonts w:eastAsia="Times New Roman" w:cstheme="minorHAnsi"/>
                                        <w:b/>
                                        <w:i/>
                                        <w:color w:val="656565"/>
                                        <w:lang w:eastAsia="en-GB"/>
                                      </w:rPr>
                                    </w:pPr>
                                    <w:r w:rsidRPr="00E40726">
                                      <w:rPr>
                                        <w:rFonts w:eastAsia="Times New Roman" w:cstheme="minorHAnsi"/>
                                        <w:b/>
                                        <w:i/>
                                        <w:color w:val="656565"/>
                                        <w:lang w:eastAsia="en-GB"/>
                                      </w:rPr>
                                      <w:t>“Please note: the provisions on a change to the tenancy does not apply to a renewal or to the length of the tenancy. From 1 June 2019, agents and landlords will not be able to charge for a renewal of a tenancy under the Act. However, if the tenancy was entered into before 1 June 2019 and it was agreed in their contract to pay certain renewal fees, then a landlord or agent can charge these fees for a new fixed-term agreement or statutory periodic agreement up until 31 May 2020.”</w:t>
                                    </w:r>
                                  </w:p>
                                  <w:p w14:paraId="53732851" w14:textId="77777777" w:rsidR="003E6229" w:rsidRPr="00E40726" w:rsidRDefault="003E6229" w:rsidP="003E6229">
                                    <w:pPr>
                                      <w:spacing w:after="0" w:line="360" w:lineRule="auto"/>
                                      <w:jc w:val="both"/>
                                      <w:rPr>
                                        <w:rFonts w:eastAsia="Times New Roman" w:cstheme="minorHAnsi"/>
                                        <w:b/>
                                        <w:i/>
                                        <w:color w:val="656565"/>
                                        <w:lang w:eastAsia="en-GB"/>
                                      </w:rPr>
                                    </w:pPr>
                                  </w:p>
                                  <w:p w14:paraId="03DE7F0D" w14:textId="23309CB1" w:rsidR="003E6229" w:rsidRPr="007E1F9A" w:rsidRDefault="007E1F9A" w:rsidP="003E6229">
                                    <w:pPr>
                                      <w:spacing w:after="0" w:line="360" w:lineRule="auto"/>
                                      <w:jc w:val="both"/>
                                      <w:rPr>
                                        <w:rFonts w:eastAsia="Times New Roman" w:cstheme="minorHAnsi"/>
                                        <w:b/>
                                        <w:color w:val="00B0F0"/>
                                        <w:lang w:eastAsia="en-GB"/>
                                      </w:rPr>
                                    </w:pPr>
                                    <w:r>
                                      <w:rPr>
                                        <w:rFonts w:eastAsia="Times New Roman" w:cstheme="minorHAnsi"/>
                                        <w:b/>
                                        <w:color w:val="00B0F0"/>
                                        <w:lang w:eastAsia="en-GB"/>
                                      </w:rPr>
                                      <w:t xml:space="preserve">EARLY TERMINATION </w:t>
                                    </w:r>
                                  </w:p>
                                  <w:p w14:paraId="09BCBE1D" w14:textId="77777777" w:rsidR="003E6229" w:rsidRPr="00E40726" w:rsidRDefault="003E6229" w:rsidP="003E6229">
                                    <w:pPr>
                                      <w:spacing w:after="0" w:line="360" w:lineRule="auto"/>
                                      <w:jc w:val="both"/>
                                      <w:rPr>
                                        <w:rFonts w:eastAsia="Times New Roman" w:cstheme="minorHAnsi"/>
                                        <w:b/>
                                        <w:i/>
                                        <w:color w:val="656565"/>
                                        <w:lang w:eastAsia="en-GB"/>
                                      </w:rPr>
                                    </w:pPr>
                                  </w:p>
                                  <w:p w14:paraId="3A52B114" w14:textId="2018D8DD" w:rsidR="003E6229" w:rsidRPr="00E40726" w:rsidRDefault="003E6229" w:rsidP="003E6229">
                                    <w:pPr>
                                      <w:spacing w:after="0" w:line="360" w:lineRule="auto"/>
                                      <w:jc w:val="both"/>
                                      <w:rPr>
                                        <w:rFonts w:eastAsia="Times New Roman" w:cstheme="minorHAnsi"/>
                                        <w:b/>
                                        <w:color w:val="656565"/>
                                        <w:lang w:eastAsia="en-GB"/>
                                      </w:rPr>
                                    </w:pPr>
                                    <w:r w:rsidRPr="00E40726">
                                      <w:rPr>
                                        <w:rFonts w:eastAsia="Times New Roman" w:cstheme="minorHAnsi"/>
                                        <w:b/>
                                        <w:color w:val="656565"/>
                                        <w:lang w:eastAsia="en-GB"/>
                                      </w:rPr>
                                      <w:t>You are allowed to charge an early termination fee if the tenant requests to leave before th</w:t>
                                    </w:r>
                                    <w:r w:rsidR="0064273C">
                                      <w:rPr>
                                        <w:rFonts w:eastAsia="Times New Roman" w:cstheme="minorHAnsi"/>
                                        <w:b/>
                                        <w:color w:val="656565"/>
                                        <w:lang w:eastAsia="en-GB"/>
                                      </w:rPr>
                                      <w:t xml:space="preserve">e end of their tenancy. However, </w:t>
                                    </w:r>
                                    <w:r w:rsidRPr="00E40726">
                                      <w:rPr>
                                        <w:rFonts w:eastAsia="Times New Roman" w:cstheme="minorHAnsi"/>
                                        <w:b/>
                                        <w:color w:val="656565"/>
                                        <w:lang w:eastAsia="en-GB"/>
                                      </w:rPr>
                                      <w:t xml:space="preserve">sums charged must not exceed the financial loss that the landlord has suffered </w:t>
                                    </w:r>
                                    <w:r w:rsidRPr="00E40726">
                                      <w:rPr>
                                        <w:rFonts w:eastAsia="Times New Roman" w:cstheme="minorHAnsi"/>
                                        <w:b/>
                                        <w:color w:val="656565"/>
                                        <w:lang w:eastAsia="en-GB"/>
                                      </w:rPr>
                                      <w:lastRenderedPageBreak/>
                                      <w:t xml:space="preserve">or those reasonable costs that have been incurred by the agent in arranging for the tenant to leave early. </w:t>
                                    </w:r>
                                  </w:p>
                                  <w:p w14:paraId="7CE6326E" w14:textId="77777777" w:rsidR="003E6229" w:rsidRPr="00E40726" w:rsidRDefault="003E6229" w:rsidP="003E6229">
                                    <w:pPr>
                                      <w:spacing w:after="0" w:line="360" w:lineRule="auto"/>
                                      <w:jc w:val="both"/>
                                      <w:rPr>
                                        <w:rFonts w:eastAsia="Times New Roman" w:cstheme="minorHAnsi"/>
                                        <w:b/>
                                        <w:color w:val="656565"/>
                                        <w:lang w:eastAsia="en-GB"/>
                                      </w:rPr>
                                    </w:pPr>
                                  </w:p>
                                  <w:p w14:paraId="3FC82358" w14:textId="081A8829" w:rsidR="003E6229" w:rsidRPr="00E40726" w:rsidRDefault="003E6229" w:rsidP="003E6229">
                                    <w:pPr>
                                      <w:spacing w:after="0" w:line="360" w:lineRule="auto"/>
                                      <w:jc w:val="both"/>
                                      <w:rPr>
                                        <w:rFonts w:eastAsia="Times New Roman" w:cstheme="minorHAnsi"/>
                                        <w:b/>
                                        <w:color w:val="656565"/>
                                        <w:lang w:eastAsia="en-GB"/>
                                      </w:rPr>
                                    </w:pPr>
                                    <w:r w:rsidRPr="00E40726">
                                      <w:rPr>
                                        <w:rFonts w:eastAsia="Times New Roman" w:cstheme="minorHAnsi"/>
                                        <w:b/>
                                        <w:color w:val="656565"/>
                                        <w:lang w:eastAsia="en-GB"/>
                                      </w:rPr>
                                      <w:t xml:space="preserve">The Government Guide states that:  </w:t>
                                    </w:r>
                                  </w:p>
                                  <w:p w14:paraId="2629A63D" w14:textId="77777777" w:rsidR="003E6229" w:rsidRPr="00E40726" w:rsidRDefault="003E6229" w:rsidP="003E6229">
                                    <w:pPr>
                                      <w:spacing w:after="0" w:line="360" w:lineRule="auto"/>
                                      <w:jc w:val="both"/>
                                      <w:rPr>
                                        <w:rFonts w:eastAsia="Times New Roman" w:cstheme="minorHAnsi"/>
                                        <w:b/>
                                        <w:color w:val="656565"/>
                                        <w:lang w:eastAsia="en-GB"/>
                                      </w:rPr>
                                    </w:pPr>
                                  </w:p>
                                  <w:p w14:paraId="36F0F519" w14:textId="0EB89AA0" w:rsidR="003E6229" w:rsidRPr="00E40726" w:rsidRDefault="003E6229" w:rsidP="003E6229">
                                    <w:pPr>
                                      <w:spacing w:after="0" w:line="360" w:lineRule="auto"/>
                                      <w:jc w:val="both"/>
                                      <w:rPr>
                                        <w:rFonts w:eastAsia="Times New Roman" w:cstheme="minorHAnsi"/>
                                        <w:b/>
                                        <w:i/>
                                        <w:color w:val="656565"/>
                                        <w:lang w:eastAsia="en-GB"/>
                                      </w:rPr>
                                    </w:pPr>
                                    <w:r w:rsidRPr="00E40726">
                                      <w:rPr>
                                        <w:rFonts w:eastAsia="Times New Roman" w:cstheme="minorHAnsi"/>
                                        <w:b/>
                                        <w:i/>
                                        <w:color w:val="656565"/>
                                        <w:lang w:eastAsia="en-GB"/>
                                      </w:rPr>
                                      <w:t xml:space="preserve">“This usually means that a landlord must not charge any more than the rent they would have received before the tenancy reaches its end. It is good practice to agree to any reasonable request to terminate the tenancy agreement early. If there are no missed rent payments, we encourage you to not charge any early termination fees unless you can demonstrate through evidence to the tenant that specific costs have been incurred (e.g. marketing and referencing costs). Any payment that exceeds the landlord’s financial loss or an agent’s reasonable costs will be a prohibited payment.  </w:t>
                                    </w:r>
                                  </w:p>
                                  <w:p w14:paraId="44B83CA6" w14:textId="77777777" w:rsidR="00E109B6" w:rsidRPr="00E40726" w:rsidRDefault="00E109B6" w:rsidP="00A90CB5">
                                    <w:pPr>
                                      <w:spacing w:after="0" w:line="360" w:lineRule="auto"/>
                                      <w:rPr>
                                        <w:rFonts w:eastAsia="Times New Roman" w:cstheme="minorHAnsi"/>
                                        <w:b/>
                                        <w:color w:val="656565"/>
                                        <w:lang w:eastAsia="en-GB"/>
                                      </w:rPr>
                                    </w:pPr>
                                  </w:p>
                                  <w:p w14:paraId="72642701" w14:textId="1FB41A9B" w:rsidR="00716624" w:rsidRPr="00E40726" w:rsidRDefault="00716624" w:rsidP="00A90CB5">
                                    <w:pPr>
                                      <w:spacing w:after="0" w:line="360" w:lineRule="auto"/>
                                      <w:rPr>
                                        <w:rFonts w:eastAsia="Times New Roman" w:cstheme="minorHAnsi"/>
                                        <w:b/>
                                        <w:color w:val="656565"/>
                                        <w:lang w:eastAsia="en-GB"/>
                                      </w:rPr>
                                    </w:pPr>
                                    <w:r w:rsidRPr="00E40726">
                                      <w:rPr>
                                        <w:rFonts w:eastAsia="Times New Roman" w:cstheme="minorHAnsi"/>
                                        <w:b/>
                                        <w:color w:val="656565"/>
                                        <w:lang w:eastAsia="en-GB"/>
                                      </w:rPr>
                                      <w:t>So our advice is to be cautious and obtain evidence of your reasonable cost</w:t>
                                    </w:r>
                                    <w:r w:rsidR="002975CC" w:rsidRPr="00E40726">
                                      <w:rPr>
                                        <w:rFonts w:eastAsia="Times New Roman" w:cstheme="minorHAnsi"/>
                                        <w:b/>
                                        <w:color w:val="656565"/>
                                        <w:lang w:eastAsia="en-GB"/>
                                      </w:rPr>
                                      <w:t>s.</w:t>
                                    </w:r>
                                  </w:p>
                                  <w:p w14:paraId="6CD47BBD" w14:textId="25B6A08E" w:rsidR="00E109B6" w:rsidRPr="00E40726" w:rsidRDefault="00E109B6" w:rsidP="00A90CB5">
                                    <w:pPr>
                                      <w:spacing w:after="0" w:line="360" w:lineRule="auto"/>
                                      <w:rPr>
                                        <w:rFonts w:eastAsia="Times New Roman" w:cstheme="minorHAnsi"/>
                                        <w:b/>
                                        <w:color w:val="656565"/>
                                        <w:lang w:eastAsia="en-GB"/>
                                      </w:rPr>
                                    </w:pPr>
                                  </w:p>
                                  <w:p w14:paraId="5027C8CC" w14:textId="77777777" w:rsidR="00716624" w:rsidRDefault="00716624" w:rsidP="00716624">
                                    <w:pPr>
                                      <w:spacing w:after="0" w:line="360" w:lineRule="auto"/>
                                      <w:jc w:val="both"/>
                                      <w:rPr>
                                        <w:rFonts w:eastAsia="Times New Roman" w:cstheme="minorHAnsi"/>
                                        <w:b/>
                                        <w:bCs/>
                                        <w:color w:val="00B0F0"/>
                                        <w:lang w:eastAsia="en-GB"/>
                                      </w:rPr>
                                    </w:pPr>
                                    <w:r w:rsidRPr="00E40726">
                                      <w:rPr>
                                        <w:rFonts w:eastAsia="Times New Roman" w:cstheme="minorHAnsi"/>
                                        <w:b/>
                                        <w:bCs/>
                                        <w:color w:val="00B0F0"/>
                                        <w:lang w:eastAsia="en-GB"/>
                                      </w:rPr>
                                      <w:t>THIRD PARTY PAYMENTS</w:t>
                                    </w:r>
                                  </w:p>
                                  <w:p w14:paraId="1AF7E987" w14:textId="77777777" w:rsidR="007E1F9A" w:rsidRDefault="007E1F9A" w:rsidP="00716624">
                                    <w:pPr>
                                      <w:spacing w:after="0" w:line="360" w:lineRule="auto"/>
                                      <w:jc w:val="both"/>
                                      <w:rPr>
                                        <w:rFonts w:eastAsia="Times New Roman" w:cstheme="minorHAnsi"/>
                                        <w:b/>
                                        <w:bCs/>
                                        <w:color w:val="00B0F0"/>
                                        <w:lang w:eastAsia="en-GB"/>
                                      </w:rPr>
                                    </w:pPr>
                                  </w:p>
                                  <w:p w14:paraId="33C68E80" w14:textId="29CAB2DD" w:rsidR="007E1F9A" w:rsidRPr="007E1F9A" w:rsidRDefault="007E1F9A" w:rsidP="00716624">
                                    <w:pPr>
                                      <w:spacing w:after="0" w:line="360" w:lineRule="auto"/>
                                      <w:jc w:val="both"/>
                                      <w:rPr>
                                        <w:rFonts w:eastAsia="Times New Roman" w:cstheme="minorHAnsi"/>
                                        <w:b/>
                                        <w:bCs/>
                                        <w:color w:val="7F7F7F" w:themeColor="text1" w:themeTint="80"/>
                                        <w:lang w:eastAsia="en-GB"/>
                                      </w:rPr>
                                    </w:pPr>
                                    <w:r w:rsidRPr="007E1F9A">
                                      <w:rPr>
                                        <w:rFonts w:eastAsia="Times New Roman" w:cstheme="minorHAnsi"/>
                                        <w:b/>
                                        <w:bCs/>
                                        <w:color w:val="595959" w:themeColor="text1" w:themeTint="A6"/>
                                        <w:lang w:eastAsia="en-GB"/>
                                      </w:rPr>
                                      <w:t>The general rule is that you cannot require a tenant to pay for the services of a third party – for example the costs of obtaining a reference</w:t>
                                    </w:r>
                                    <w:r>
                                      <w:rPr>
                                        <w:rFonts w:eastAsia="Times New Roman" w:cstheme="minorHAnsi"/>
                                        <w:b/>
                                        <w:bCs/>
                                        <w:color w:val="595959" w:themeColor="text1" w:themeTint="A6"/>
                                        <w:lang w:eastAsia="en-GB"/>
                                      </w:rPr>
                                      <w:t>, credit check</w:t>
                                    </w:r>
                                    <w:r w:rsidR="00E12271">
                                      <w:rPr>
                                        <w:rFonts w:eastAsia="Times New Roman" w:cstheme="minorHAnsi"/>
                                        <w:b/>
                                        <w:bCs/>
                                        <w:color w:val="595959" w:themeColor="text1" w:themeTint="A6"/>
                                        <w:lang w:eastAsia="en-GB"/>
                                      </w:rPr>
                                      <w:t>, professional end of tenancy cleaning</w:t>
                                    </w:r>
                                    <w:r w:rsidRPr="007E1F9A">
                                      <w:rPr>
                                        <w:rFonts w:eastAsia="Times New Roman" w:cstheme="minorHAnsi"/>
                                        <w:b/>
                                        <w:bCs/>
                                        <w:color w:val="595959" w:themeColor="text1" w:themeTint="A6"/>
                                        <w:lang w:eastAsia="en-GB"/>
                                      </w:rPr>
                                      <w:t xml:space="preserve"> or completion of a professional check out report. The tenant can </w:t>
                                    </w:r>
                                    <w:r>
                                      <w:rPr>
                                        <w:rFonts w:eastAsia="Times New Roman" w:cstheme="minorHAnsi"/>
                                        <w:b/>
                                        <w:bCs/>
                                        <w:color w:val="595959" w:themeColor="text1" w:themeTint="A6"/>
                                        <w:lang w:eastAsia="en-GB"/>
                                      </w:rPr>
                                      <w:t xml:space="preserve">however </w:t>
                                    </w:r>
                                    <w:r w:rsidRPr="007E1F9A">
                                      <w:rPr>
                                        <w:rFonts w:eastAsia="Times New Roman" w:cstheme="minorHAnsi"/>
                                        <w:b/>
                                        <w:bCs/>
                                        <w:color w:val="595959" w:themeColor="text1" w:themeTint="A6"/>
                                        <w:lang w:eastAsia="en-GB"/>
                                      </w:rPr>
                                      <w:t>opt to employ the service of a</w:t>
                                    </w:r>
                                    <w:r>
                                      <w:rPr>
                                        <w:rFonts w:eastAsia="Times New Roman" w:cstheme="minorHAnsi"/>
                                        <w:b/>
                                        <w:bCs/>
                                        <w:color w:val="595959" w:themeColor="text1" w:themeTint="A6"/>
                                        <w:lang w:eastAsia="en-GB"/>
                                      </w:rPr>
                                      <w:t xml:space="preserve"> </w:t>
                                    </w:r>
                                    <w:r w:rsidRPr="007E1F9A">
                                      <w:rPr>
                                        <w:rFonts w:eastAsia="Times New Roman" w:cstheme="minorHAnsi"/>
                                        <w:b/>
                                        <w:bCs/>
                                        <w:color w:val="595959" w:themeColor="text1" w:themeTint="A6"/>
                                        <w:lang w:eastAsia="en-GB"/>
                                      </w:rPr>
                                      <w:t xml:space="preserve">third party if they wish.  </w:t>
                                    </w:r>
                                  </w:p>
                                  <w:p w14:paraId="77AF9239" w14:textId="77777777" w:rsidR="00716624" w:rsidRPr="00E40726" w:rsidRDefault="00716624" w:rsidP="00716624">
                                    <w:pPr>
                                      <w:spacing w:after="0" w:line="360" w:lineRule="auto"/>
                                      <w:jc w:val="both"/>
                                      <w:rPr>
                                        <w:rFonts w:eastAsia="Times New Roman" w:cstheme="minorHAnsi"/>
                                        <w:b/>
                                        <w:bCs/>
                                        <w:color w:val="656565"/>
                                        <w:lang w:eastAsia="en-GB"/>
                                      </w:rPr>
                                    </w:pPr>
                                  </w:p>
                                  <w:p w14:paraId="214F0ACF" w14:textId="526B3E4E" w:rsidR="00716624" w:rsidRPr="00E40726" w:rsidRDefault="00716624" w:rsidP="00716624">
                                    <w:pPr>
                                      <w:spacing w:after="0" w:line="360" w:lineRule="auto"/>
                                      <w:jc w:val="both"/>
                                      <w:rPr>
                                        <w:rFonts w:eastAsia="Times New Roman" w:cstheme="minorHAnsi"/>
                                        <w:b/>
                                        <w:color w:val="656565"/>
                                        <w:lang w:eastAsia="en-GB"/>
                                      </w:rPr>
                                    </w:pPr>
                                    <w:r w:rsidRPr="00E40726">
                                      <w:rPr>
                                        <w:rFonts w:eastAsia="Times New Roman" w:cstheme="minorHAnsi"/>
                                        <w:b/>
                                        <w:color w:val="656565"/>
                                        <w:lang w:eastAsia="en-GB"/>
                                      </w:rPr>
                                      <w:t>There are</w:t>
                                    </w:r>
                                    <w:r w:rsidR="007E1F9A">
                                      <w:rPr>
                                        <w:rFonts w:eastAsia="Times New Roman" w:cstheme="minorHAnsi"/>
                                        <w:b/>
                                        <w:color w:val="656565"/>
                                        <w:lang w:eastAsia="en-GB"/>
                                      </w:rPr>
                                      <w:t xml:space="preserve"> however </w:t>
                                    </w:r>
                                    <w:r w:rsidRPr="00E40726">
                                      <w:rPr>
                                        <w:rFonts w:eastAsia="Times New Roman" w:cstheme="minorHAnsi"/>
                                        <w:b/>
                                        <w:color w:val="656565"/>
                                        <w:lang w:eastAsia="en-GB"/>
                                      </w:rPr>
                                      <w:t>a number of third party payments that are often required under the terms of the tenancy agreement and which are not prohibited fees. Examples include a contractual obligation for the tenants to pay:</w:t>
                                    </w:r>
                                  </w:p>
                                  <w:p w14:paraId="705E72B9" w14:textId="5D89ECDD" w:rsidR="00716624" w:rsidRPr="00E40726" w:rsidRDefault="00716624" w:rsidP="00716624">
                                    <w:pPr>
                                      <w:spacing w:after="0" w:line="360" w:lineRule="auto"/>
                                      <w:rPr>
                                        <w:rFonts w:eastAsia="Times New Roman" w:cstheme="minorHAnsi"/>
                                        <w:b/>
                                        <w:color w:val="656565"/>
                                        <w:lang w:eastAsia="en-GB"/>
                                      </w:rPr>
                                    </w:pPr>
                                    <w:r w:rsidRPr="00E40726">
                                      <w:rPr>
                                        <w:rFonts w:eastAsia="Times New Roman" w:cstheme="minorHAnsi"/>
                                        <w:b/>
                                        <w:color w:val="656565"/>
                                        <w:lang w:eastAsia="en-GB"/>
                                      </w:rPr>
                                      <w:br/>
                                      <w:t>·      Television licence</w:t>
                                    </w:r>
                                    <w:r w:rsidRPr="00E40726">
                                      <w:rPr>
                                        <w:rFonts w:eastAsia="Times New Roman" w:cstheme="minorHAnsi"/>
                                        <w:b/>
                                        <w:color w:val="656565"/>
                                        <w:lang w:eastAsia="en-GB"/>
                                      </w:rPr>
                                      <w:br/>
                                      <w:t>·      Council tax</w:t>
                                    </w:r>
                                    <w:r w:rsidRPr="00E40726">
                                      <w:rPr>
                                        <w:rFonts w:eastAsia="Times New Roman" w:cstheme="minorHAnsi"/>
                                        <w:b/>
                                        <w:color w:val="656565"/>
                                        <w:lang w:eastAsia="en-GB"/>
                                      </w:rPr>
                                      <w:br/>
                                      <w:t>·      Landlord's costs from a specific service provider for utilities</w:t>
                                    </w:r>
                                    <w:r w:rsidRPr="00E40726">
                                      <w:rPr>
                                        <w:rFonts w:eastAsia="Times New Roman" w:cstheme="minorHAnsi"/>
                                        <w:b/>
                                        <w:color w:val="656565"/>
                                        <w:lang w:eastAsia="en-GB"/>
                                      </w:rPr>
                                      <w:br/>
                                      <w:t>·      Landlord's cost for a specific communication service i.e. phones, broadband, Sky TV.</w:t>
                                    </w:r>
                                    <w:r w:rsidRPr="00E40726">
                                      <w:rPr>
                                        <w:rFonts w:eastAsia="Times New Roman" w:cstheme="minorHAnsi"/>
                                        <w:b/>
                                        <w:color w:val="656565"/>
                                        <w:lang w:eastAsia="en-GB"/>
                                      </w:rPr>
                                      <w:br/>
                                    </w:r>
                                    <w:r w:rsidRPr="00E40726">
                                      <w:rPr>
                                        <w:rFonts w:eastAsia="Times New Roman" w:cstheme="minorHAnsi"/>
                                        <w:b/>
                                        <w:color w:val="656565"/>
                                        <w:lang w:eastAsia="en-GB"/>
                                      </w:rPr>
                                      <w:br/>
                                      <w:t>If the landlord seeks to charge more than the billed costs for these services then the additional sum will be considered a prohibited payment.</w:t>
                                    </w:r>
                                    <w:r w:rsidR="002975CC" w:rsidRPr="00E40726">
                                      <w:rPr>
                                        <w:rFonts w:eastAsia="Times New Roman" w:cstheme="minorHAnsi"/>
                                        <w:b/>
                                        <w:color w:val="656565"/>
                                        <w:lang w:eastAsia="en-GB"/>
                                      </w:rPr>
                                      <w:t xml:space="preserve"> This could be troublesome for landlords who charge a set amount for services, regardless of the cost of the bill.  </w:t>
                                    </w:r>
                                  </w:p>
                                  <w:p w14:paraId="25898C5F" w14:textId="77777777" w:rsidR="00716624" w:rsidRPr="00E40726" w:rsidRDefault="00716624" w:rsidP="00A90CB5">
                                    <w:pPr>
                                      <w:spacing w:after="0" w:line="360" w:lineRule="auto"/>
                                      <w:rPr>
                                        <w:rFonts w:eastAsia="Times New Roman" w:cstheme="minorHAnsi"/>
                                        <w:b/>
                                        <w:color w:val="656565"/>
                                        <w:lang w:eastAsia="en-GB"/>
                                      </w:rPr>
                                    </w:pPr>
                                  </w:p>
                                  <w:p w14:paraId="28DACF23" w14:textId="5A849245" w:rsidR="00716624" w:rsidRPr="00E40726" w:rsidRDefault="00716624" w:rsidP="00A90CB5">
                                    <w:pPr>
                                      <w:spacing w:after="0" w:line="360" w:lineRule="auto"/>
                                      <w:rPr>
                                        <w:rFonts w:eastAsia="Times New Roman" w:cstheme="minorHAnsi"/>
                                        <w:b/>
                                        <w:color w:val="656565"/>
                                        <w:lang w:eastAsia="en-GB"/>
                                      </w:rPr>
                                    </w:pPr>
                                    <w:r w:rsidRPr="00E40726">
                                      <w:rPr>
                                        <w:rFonts w:eastAsia="Times New Roman" w:cstheme="minorHAnsi"/>
                                        <w:b/>
                                        <w:color w:val="656565"/>
                                        <w:lang w:eastAsia="en-GB"/>
                                      </w:rPr>
                                      <w:t xml:space="preserve">The Government Guide states: - </w:t>
                                    </w:r>
                                  </w:p>
                                  <w:p w14:paraId="3CC23C28" w14:textId="77777777" w:rsidR="00716624" w:rsidRPr="00E40726" w:rsidRDefault="00716624" w:rsidP="00A90CB5">
                                    <w:pPr>
                                      <w:spacing w:after="0" w:line="360" w:lineRule="auto"/>
                                      <w:rPr>
                                        <w:rFonts w:eastAsia="Times New Roman" w:cstheme="minorHAnsi"/>
                                        <w:b/>
                                        <w:color w:val="656565"/>
                                        <w:lang w:eastAsia="en-GB"/>
                                      </w:rPr>
                                    </w:pPr>
                                  </w:p>
                                  <w:p w14:paraId="2C88DEED" w14:textId="2955CC00" w:rsidR="00716624" w:rsidRPr="00E40726" w:rsidRDefault="00716624" w:rsidP="00A90CB5">
                                    <w:pPr>
                                      <w:spacing w:after="0" w:line="360" w:lineRule="auto"/>
                                      <w:rPr>
                                        <w:rFonts w:eastAsia="Times New Roman" w:cstheme="minorHAnsi"/>
                                        <w:b/>
                                        <w:i/>
                                        <w:color w:val="656565"/>
                                        <w:lang w:eastAsia="en-GB"/>
                                      </w:rPr>
                                    </w:pPr>
                                    <w:r w:rsidRPr="00E40726">
                                      <w:rPr>
                                        <w:rFonts w:eastAsia="Times New Roman" w:cstheme="minorHAnsi"/>
                                        <w:b/>
                                        <w:i/>
                                        <w:color w:val="656565"/>
                                        <w:lang w:eastAsia="en-GB"/>
                                      </w:rPr>
                                      <w:t>“Tenants are still responsible for paying bills in accordance with the tenancy agreement, which could include council tax, utility payments (gas, electricity, water) and communication services (broadband, TV, phone). There is associated consumer protection legislation which prohibits landlords from over-charging for these services. The Office of Gas and Electricity Markets, ‘OFGEM’, fixes maximum resale prices under section 44 of the Electricity Act 1989, section 37 of the Gas Act 1986 and the Water Resale Order 2006 governs the maximum price for water.”</w:t>
                                    </w:r>
                                  </w:p>
                                  <w:p w14:paraId="257DA12D" w14:textId="77777777" w:rsidR="001270DD" w:rsidRDefault="00A90CB5" w:rsidP="00A90CB5">
                                    <w:pPr>
                                      <w:spacing w:after="0" w:line="360" w:lineRule="auto"/>
                                      <w:rPr>
                                        <w:rFonts w:eastAsia="Times New Roman" w:cstheme="minorHAnsi"/>
                                        <w:b/>
                                        <w:bCs/>
                                        <w:color w:val="00B0F0"/>
                                        <w:lang w:eastAsia="en-GB"/>
                                      </w:rPr>
                                    </w:pPr>
                                    <w:r w:rsidRPr="00E40726">
                                      <w:rPr>
                                        <w:rFonts w:eastAsia="Times New Roman" w:cstheme="minorHAnsi"/>
                                        <w:b/>
                                        <w:color w:val="656565"/>
                                        <w:lang w:eastAsia="en-GB"/>
                                      </w:rPr>
                                      <w:br/>
                                    </w:r>
                                    <w:r w:rsidRPr="00E40726">
                                      <w:rPr>
                                        <w:rFonts w:eastAsia="Times New Roman" w:cstheme="minorHAnsi"/>
                                        <w:b/>
                                        <w:color w:val="656565"/>
                                        <w:lang w:eastAsia="en-GB"/>
                                      </w:rPr>
                                      <w:br/>
                                    </w:r>
                                    <w:r w:rsidRPr="00E40726">
                                      <w:rPr>
                                        <w:rFonts w:eastAsia="Times New Roman" w:cstheme="minorHAnsi"/>
                                        <w:b/>
                                        <w:bCs/>
                                        <w:color w:val="00B0F0"/>
                                        <w:lang w:eastAsia="en-GB"/>
                                      </w:rPr>
                                      <w:t>FINANCIAL PENALTIES</w:t>
                                    </w:r>
                                  </w:p>
                                  <w:p w14:paraId="1ABFF052" w14:textId="77777777" w:rsidR="0050417B" w:rsidRDefault="00A90CB5" w:rsidP="00A90CB5">
                                    <w:pPr>
                                      <w:spacing w:after="0" w:line="360" w:lineRule="auto"/>
                                      <w:rPr>
                                        <w:rFonts w:eastAsia="Times New Roman" w:cstheme="minorHAnsi"/>
                                        <w:b/>
                                        <w:color w:val="656565"/>
                                        <w:lang w:eastAsia="en-GB"/>
                                      </w:rPr>
                                    </w:pPr>
                                    <w:r w:rsidRPr="00E40726">
                                      <w:rPr>
                                        <w:rFonts w:eastAsia="Times New Roman" w:cstheme="minorHAnsi"/>
                                        <w:b/>
                                        <w:color w:val="656565"/>
                                        <w:lang w:eastAsia="en-GB"/>
                                      </w:rPr>
                                      <w:br/>
                                      <w:t xml:space="preserve">If a breach occurs and payment is taken for any banned fee then the tenants will have recourse through </w:t>
                                    </w:r>
                                    <w:r w:rsidR="00E65AE7" w:rsidRPr="00E40726">
                                      <w:rPr>
                                        <w:rFonts w:eastAsia="Times New Roman" w:cstheme="minorHAnsi"/>
                                        <w:b/>
                                        <w:color w:val="656565"/>
                                        <w:lang w:eastAsia="en-GB"/>
                                      </w:rPr>
                                      <w:t>the First Tier Tribunal</w:t>
                                    </w:r>
                                    <w:r w:rsidRPr="00E40726">
                                      <w:rPr>
                                        <w:rFonts w:eastAsia="Times New Roman" w:cstheme="minorHAnsi"/>
                                        <w:b/>
                                        <w:color w:val="656565"/>
                                        <w:lang w:eastAsia="en-GB"/>
                                      </w:rPr>
                                      <w:t xml:space="preserve">. </w:t>
                                    </w:r>
                                    <w:r w:rsidRPr="00E40726">
                                      <w:rPr>
                                        <w:rFonts w:eastAsia="Times New Roman" w:cstheme="minorHAnsi"/>
                                        <w:b/>
                                        <w:color w:val="656565"/>
                                        <w:lang w:eastAsia="en-GB"/>
                                      </w:rPr>
                                      <w:br/>
                                    </w:r>
                                    <w:r w:rsidRPr="00E40726">
                                      <w:rPr>
                                        <w:rFonts w:eastAsia="Times New Roman" w:cstheme="minorHAnsi"/>
                                        <w:b/>
                                        <w:color w:val="656565"/>
                                        <w:lang w:eastAsia="en-GB"/>
                                      </w:rPr>
                                      <w:br/>
                                      <w:t xml:space="preserve">Local Trading Standards are expected to assist tenants with their claims. More worryingly Trading Standards will be required to enforce the legislation and can issue a fine of up to </w:t>
                                    </w:r>
                                    <w:r w:rsidRPr="00E40726">
                                      <w:rPr>
                                        <w:rFonts w:eastAsia="Times New Roman" w:cstheme="minorHAnsi"/>
                                        <w:b/>
                                        <w:bCs/>
                                        <w:color w:val="656565"/>
                                        <w:lang w:eastAsia="en-GB"/>
                                      </w:rPr>
                                      <w:t>£5,000 for a first offence</w:t>
                                    </w:r>
                                    <w:r w:rsidRPr="00E40726">
                                      <w:rPr>
                                        <w:rFonts w:eastAsia="Times New Roman" w:cstheme="minorHAnsi"/>
                                        <w:b/>
                                        <w:color w:val="656565"/>
                                        <w:lang w:eastAsia="en-GB"/>
                                      </w:rPr>
                                      <w:t xml:space="preserve">. Subsequent breaches are criminal offences or alternatively, the landlord can be fined up to </w:t>
                                    </w:r>
                                    <w:r w:rsidRPr="00E40726">
                                      <w:rPr>
                                        <w:rFonts w:eastAsia="Times New Roman" w:cstheme="minorHAnsi"/>
                                        <w:b/>
                                        <w:bCs/>
                                        <w:color w:val="656565"/>
                                        <w:lang w:eastAsia="en-GB"/>
                                      </w:rPr>
                                      <w:t>£30,000</w:t>
                                    </w:r>
                                    <w:r w:rsidRPr="00E40726">
                                      <w:rPr>
                                        <w:rFonts w:eastAsia="Times New Roman" w:cstheme="minorHAnsi"/>
                                        <w:b/>
                                        <w:color w:val="656565"/>
                                        <w:lang w:eastAsia="en-GB"/>
                                      </w:rPr>
                                      <w:t xml:space="preserve"> and be subject to a banning order.</w:t>
                                    </w:r>
                                  </w:p>
                                  <w:p w14:paraId="71F7A932" w14:textId="77777777" w:rsidR="0050417B" w:rsidRDefault="0050417B" w:rsidP="00A90CB5">
                                    <w:pPr>
                                      <w:spacing w:after="0" w:line="360" w:lineRule="auto"/>
                                      <w:rPr>
                                        <w:rFonts w:eastAsia="Times New Roman" w:cstheme="minorHAnsi"/>
                                        <w:b/>
                                        <w:color w:val="656565"/>
                                        <w:lang w:eastAsia="en-GB"/>
                                      </w:rPr>
                                    </w:pPr>
                                  </w:p>
                                  <w:p w14:paraId="625D46B4" w14:textId="603C9443" w:rsidR="00E65AE7" w:rsidRPr="00E40726" w:rsidRDefault="0050417B" w:rsidP="00A90CB5">
                                    <w:pPr>
                                      <w:spacing w:after="0" w:line="360" w:lineRule="auto"/>
                                      <w:rPr>
                                        <w:rFonts w:eastAsia="Times New Roman" w:cstheme="minorHAnsi"/>
                                        <w:b/>
                                        <w:bCs/>
                                        <w:color w:val="00B0F0"/>
                                        <w:lang w:eastAsia="en-GB"/>
                                      </w:rPr>
                                    </w:pPr>
                                    <w:r>
                                      <w:rPr>
                                        <w:rFonts w:eastAsia="Times New Roman" w:cstheme="minorHAnsi"/>
                                        <w:b/>
                                        <w:color w:val="656565"/>
                                        <w:lang w:eastAsia="en-GB"/>
                                      </w:rPr>
                                      <w:t>The Government Guide (</w:t>
                                    </w:r>
                                    <w:proofErr w:type="spellStart"/>
                                    <w:r>
                                      <w:rPr>
                                        <w:rFonts w:eastAsia="Times New Roman" w:cstheme="minorHAnsi"/>
                                        <w:b/>
                                        <w:color w:val="656565"/>
                                        <w:lang w:eastAsia="en-GB"/>
                                      </w:rPr>
                                      <w:t>pg</w:t>
                                    </w:r>
                                    <w:proofErr w:type="spellEnd"/>
                                    <w:r>
                                      <w:rPr>
                                        <w:rFonts w:eastAsia="Times New Roman" w:cstheme="minorHAnsi"/>
                                        <w:b/>
                                        <w:color w:val="656565"/>
                                        <w:lang w:eastAsia="en-GB"/>
                                      </w:rPr>
                                      <w:t xml:space="preserve"> 10) provides useful FAQs on the enforcement of the Act,  financial penalties and convictions. </w:t>
                                    </w:r>
                                    <w:r w:rsidR="00A90CB5" w:rsidRPr="00E40726">
                                      <w:rPr>
                                        <w:rFonts w:eastAsia="Times New Roman" w:cstheme="minorHAnsi"/>
                                        <w:b/>
                                        <w:color w:val="656565"/>
                                        <w:lang w:eastAsia="en-GB"/>
                                      </w:rPr>
                                      <w:br/>
                                    </w:r>
                                    <w:r w:rsidR="00A90CB5" w:rsidRPr="00E40726">
                                      <w:rPr>
                                        <w:rFonts w:eastAsia="Times New Roman" w:cstheme="minorHAnsi"/>
                                        <w:b/>
                                        <w:color w:val="656565"/>
                                        <w:lang w:eastAsia="en-GB"/>
                                      </w:rPr>
                                      <w:br/>
                                    </w:r>
                                    <w:r w:rsidR="00A90CB5" w:rsidRPr="00E40726">
                                      <w:rPr>
                                        <w:rFonts w:eastAsia="Times New Roman" w:cstheme="minorHAnsi"/>
                                        <w:b/>
                                        <w:bCs/>
                                        <w:color w:val="00B0F0"/>
                                        <w:lang w:eastAsia="en-GB"/>
                                      </w:rPr>
                                      <w:t>RESTRICTIONS ON SECTION 21 NOTICES</w:t>
                                    </w:r>
                                  </w:p>
                                  <w:p w14:paraId="75E3F8C2" w14:textId="77777777" w:rsidR="00E65AE7" w:rsidRPr="00E40726" w:rsidRDefault="00A90CB5" w:rsidP="00A90CB5">
                                    <w:pPr>
                                      <w:spacing w:after="0" w:line="360" w:lineRule="auto"/>
                                      <w:rPr>
                                        <w:rFonts w:eastAsia="Times New Roman" w:cstheme="minorHAnsi"/>
                                        <w:b/>
                                        <w:color w:val="656565"/>
                                        <w:lang w:eastAsia="en-GB"/>
                                      </w:rPr>
                                    </w:pPr>
                                    <w:r w:rsidRPr="00E40726">
                                      <w:rPr>
                                        <w:rFonts w:eastAsia="Times New Roman" w:cstheme="minorHAnsi"/>
                                        <w:b/>
                                        <w:color w:val="656565"/>
                                        <w:lang w:eastAsia="en-GB"/>
                                      </w:rPr>
                                      <w:t>No </w:t>
                                    </w:r>
                                    <w:hyperlink r:id="rId14" w:history="1">
                                      <w:r w:rsidRPr="00E40726">
                                        <w:rPr>
                                          <w:rFonts w:eastAsia="Times New Roman" w:cstheme="minorHAnsi"/>
                                          <w:b/>
                                          <w:color w:val="656565"/>
                                          <w:lang w:eastAsia="en-GB"/>
                                        </w:rPr>
                                        <w:t>Section 21</w:t>
                                      </w:r>
                                    </w:hyperlink>
                                    <w:r w:rsidRPr="00E40726">
                                      <w:rPr>
                                        <w:rFonts w:eastAsia="Times New Roman" w:cstheme="minorHAnsi"/>
                                        <w:b/>
                                        <w:color w:val="656565"/>
                                        <w:lang w:eastAsia="en-GB"/>
                                      </w:rPr>
                                      <w:t xml:space="preserve"> notice can be served </w:t>
                                    </w:r>
                                    <w:r w:rsidR="00E65AE7" w:rsidRPr="00E40726">
                                      <w:rPr>
                                        <w:rFonts w:eastAsia="Times New Roman" w:cstheme="minorHAnsi"/>
                                        <w:b/>
                                        <w:color w:val="656565"/>
                                        <w:lang w:eastAsia="en-GB"/>
                                      </w:rPr>
                                      <w:t xml:space="preserve">until the landlord or agent have repaid any unlawfully charged fees or returned an unlawfully retained holding deposit. </w:t>
                                    </w:r>
                                  </w:p>
                                  <w:p w14:paraId="2F2598F3" w14:textId="5A11BF47" w:rsidR="00A90CB5" w:rsidRPr="00E40726" w:rsidRDefault="00A90CB5" w:rsidP="00A90CB5">
                                    <w:pPr>
                                      <w:spacing w:after="0" w:line="360" w:lineRule="auto"/>
                                      <w:rPr>
                                        <w:rFonts w:eastAsia="Times New Roman" w:cstheme="minorHAnsi"/>
                                        <w:b/>
                                        <w:color w:val="656565"/>
                                        <w:lang w:eastAsia="en-GB"/>
                                      </w:rPr>
                                    </w:pPr>
                                    <w:r w:rsidRPr="00E40726">
                                      <w:rPr>
                                        <w:rFonts w:eastAsia="Times New Roman" w:cstheme="minorHAnsi"/>
                                        <w:b/>
                                        <w:color w:val="656565"/>
                                        <w:lang w:eastAsia="en-GB"/>
                                      </w:rPr>
                                      <w:br/>
                                      <w:t xml:space="preserve">Landlords and agents can either refund the prohibited payment or (with the permission of the tenant) use that money as payment towards rent or the deposit. This should always be properly documented so that the agreement can be evidenced for the court should the need arise. </w:t>
                                    </w:r>
                                  </w:p>
                                  <w:p w14:paraId="51C9EA80" w14:textId="72A5344B" w:rsidR="001270DD" w:rsidRPr="00E40726" w:rsidRDefault="00A90CB5" w:rsidP="001270DD">
                                    <w:pPr>
                                      <w:spacing w:before="63"/>
                                      <w:rPr>
                                        <w:rFonts w:eastAsia="Times New Roman" w:cstheme="minorHAnsi"/>
                                        <w:b/>
                                        <w:color w:val="656565"/>
                                        <w:lang w:eastAsia="en-GB"/>
                                      </w:rPr>
                                    </w:pPr>
                                    <w:r w:rsidRPr="00E40726">
                                      <w:rPr>
                                        <w:rFonts w:eastAsia="Times New Roman" w:cstheme="minorHAnsi"/>
                                        <w:b/>
                                        <w:color w:val="656565"/>
                                        <w:lang w:eastAsia="en-GB"/>
                                      </w:rPr>
                                      <w:br/>
                                      <w:t xml:space="preserve">Before serving a s21 notice a review of fees charged should be carried out to avoid invalidating any </w:t>
                                    </w:r>
                                    <w:r w:rsidRPr="00E40726">
                                      <w:rPr>
                                        <w:rFonts w:eastAsia="Times New Roman" w:cstheme="minorHAnsi"/>
                                        <w:b/>
                                        <w:color w:val="656565"/>
                                        <w:lang w:eastAsia="en-GB"/>
                                      </w:rPr>
                                      <w:lastRenderedPageBreak/>
                                      <w:t>notice served.</w:t>
                                    </w:r>
                                    <w:r w:rsidRPr="00E40726">
                                      <w:rPr>
                                        <w:rFonts w:eastAsia="Times New Roman" w:cstheme="minorHAnsi"/>
                                        <w:b/>
                                        <w:color w:val="656565"/>
                                        <w:lang w:eastAsia="en-GB"/>
                                      </w:rPr>
                                      <w:br/>
                                      <w:t> </w:t>
                                    </w:r>
                                    <w:r w:rsidRPr="00E40726">
                                      <w:rPr>
                                        <w:rFonts w:eastAsia="Times New Roman" w:cstheme="minorHAnsi"/>
                                        <w:b/>
                                        <w:color w:val="656565"/>
                                        <w:lang w:eastAsia="en-GB"/>
                                      </w:rPr>
                                      <w:br/>
                                    </w:r>
                                  </w:p>
                                  <w:p w14:paraId="7E150809" w14:textId="669D6341" w:rsidR="00A94029" w:rsidRPr="00E40726" w:rsidRDefault="001270DD" w:rsidP="00E12271">
                                    <w:pPr>
                                      <w:spacing w:before="63"/>
                                      <w:rPr>
                                        <w:rFonts w:eastAsia="Times New Roman" w:cstheme="minorHAnsi"/>
                                        <w:b/>
                                        <w:color w:val="656565"/>
                                        <w:lang w:eastAsia="en-GB"/>
                                      </w:rPr>
                                    </w:pPr>
                                    <w:r w:rsidRPr="001270DD">
                                      <w:rPr>
                                        <w:rFonts w:eastAsia="Times New Roman" w:cstheme="minorHAnsi"/>
                                        <w:b/>
                                        <w:color w:val="00B0F0"/>
                                        <w:lang w:eastAsia="en-GB"/>
                                      </w:rPr>
                                      <w:t>WARNING</w:t>
                                    </w:r>
                                    <w:r w:rsidR="00A90CB5" w:rsidRPr="00E40726">
                                      <w:rPr>
                                        <w:rFonts w:eastAsia="Times New Roman" w:cstheme="minorHAnsi"/>
                                        <w:b/>
                                        <w:color w:val="656565"/>
                                        <w:lang w:eastAsia="en-GB"/>
                                      </w:rPr>
                                      <w:br/>
                                    </w:r>
                                    <w:r w:rsidR="00A90CB5" w:rsidRPr="00E40726">
                                      <w:rPr>
                                        <w:rFonts w:eastAsia="Times New Roman" w:cstheme="minorHAnsi"/>
                                        <w:b/>
                                        <w:color w:val="656565"/>
                                        <w:lang w:eastAsia="en-GB"/>
                                      </w:rPr>
                                      <w:br/>
                                    </w:r>
                                    <w:r w:rsidR="00C35638" w:rsidRPr="00E40726">
                                      <w:rPr>
                                        <w:rFonts w:eastAsia="Times New Roman" w:cstheme="minorHAnsi"/>
                                        <w:b/>
                                        <w:color w:val="656565"/>
                                        <w:lang w:eastAsia="en-GB"/>
                                      </w:rPr>
                                      <w:t>We would like to reinforce that the legislation does require further clarification from the courts and The Tenant Fee Act is a significant piece of legislation.   Giv</w:t>
                                    </w:r>
                                    <w:r>
                                      <w:rPr>
                                        <w:rFonts w:eastAsia="Times New Roman" w:cstheme="minorHAnsi"/>
                                        <w:b/>
                                        <w:color w:val="656565"/>
                                        <w:lang w:eastAsia="en-GB"/>
                                      </w:rPr>
                                      <w:t>en the consequences of the Act w</w:t>
                                    </w:r>
                                    <w:r w:rsidR="00C35638" w:rsidRPr="00E40726">
                                      <w:rPr>
                                        <w:rFonts w:eastAsia="Times New Roman" w:cstheme="minorHAnsi"/>
                                        <w:b/>
                                        <w:color w:val="656565"/>
                                        <w:lang w:eastAsia="en-GB"/>
                                      </w:rPr>
                                      <w:t xml:space="preserve">e urge agents to review their agreements and processes.   This purpose of this guide is to </w:t>
                                    </w:r>
                                    <w:r w:rsidR="00E12271">
                                      <w:rPr>
                                        <w:rFonts w:eastAsia="Times New Roman" w:cstheme="minorHAnsi"/>
                                        <w:b/>
                                        <w:color w:val="656565"/>
                                        <w:lang w:eastAsia="en-GB"/>
                                      </w:rPr>
                                      <w:t>outline</w:t>
                                    </w:r>
                                    <w:r w:rsidR="00C35638" w:rsidRPr="00E40726">
                                      <w:rPr>
                                        <w:rFonts w:eastAsia="Times New Roman" w:cstheme="minorHAnsi"/>
                                        <w:b/>
                                        <w:color w:val="656565"/>
                                        <w:lang w:eastAsia="en-GB"/>
                                      </w:rPr>
                                      <w:t xml:space="preserve"> the legislation and </w:t>
                                    </w:r>
                                    <w:r w:rsidR="00E12271">
                                      <w:rPr>
                                        <w:rFonts w:eastAsia="Times New Roman" w:cstheme="minorHAnsi"/>
                                        <w:b/>
                                        <w:color w:val="656565"/>
                                        <w:lang w:eastAsia="en-GB"/>
                                      </w:rPr>
                                      <w:t xml:space="preserve">further </w:t>
                                    </w:r>
                                    <w:r w:rsidR="00C35638" w:rsidRPr="00E40726">
                                      <w:rPr>
                                        <w:rFonts w:eastAsia="Times New Roman" w:cstheme="minorHAnsi"/>
                                        <w:b/>
                                        <w:color w:val="656565"/>
                                        <w:lang w:eastAsia="en-GB"/>
                                      </w:rPr>
                                      <w:t xml:space="preserve">clarification </w:t>
                                    </w:r>
                                    <w:r w:rsidR="00E12271">
                                      <w:rPr>
                                        <w:rFonts w:eastAsia="Times New Roman" w:cstheme="minorHAnsi"/>
                                        <w:b/>
                                        <w:color w:val="656565"/>
                                        <w:lang w:eastAsia="en-GB"/>
                                      </w:rPr>
                                      <w:t xml:space="preserve">will be required </w:t>
                                    </w:r>
                                    <w:r w:rsidR="00C35638" w:rsidRPr="00E40726">
                                      <w:rPr>
                                        <w:rFonts w:eastAsia="Times New Roman" w:cstheme="minorHAnsi"/>
                                        <w:b/>
                                        <w:color w:val="656565"/>
                                        <w:lang w:eastAsia="en-GB"/>
                                      </w:rPr>
                                      <w:t xml:space="preserve">once in force.  </w:t>
                                    </w:r>
                                  </w:p>
                                </w:tc>
                              </w:tr>
                              <w:tr w:rsidR="00A90CB5" w:rsidRPr="00775ACD" w14:paraId="2B5ECB06" w14:textId="77777777" w:rsidTr="00A90CB5">
                                <w:tc>
                                  <w:tcPr>
                                    <w:tcW w:w="5000" w:type="pct"/>
                                    <w:tcMar>
                                      <w:top w:w="0" w:type="dxa"/>
                                      <w:left w:w="270" w:type="dxa"/>
                                      <w:bottom w:w="135" w:type="dxa"/>
                                      <w:right w:w="270" w:type="dxa"/>
                                    </w:tcMar>
                                  </w:tcPr>
                                  <w:p w14:paraId="0EDF6628" w14:textId="72EA414C" w:rsidR="00A90CB5" w:rsidRPr="00775ACD" w:rsidRDefault="00C35638" w:rsidP="00A90CB5">
                                    <w:pPr>
                                      <w:spacing w:after="0" w:line="360" w:lineRule="auto"/>
                                      <w:jc w:val="both"/>
                                      <w:rPr>
                                        <w:rFonts w:eastAsia="Times New Roman" w:cstheme="minorHAnsi"/>
                                        <w:b/>
                                        <w:color w:val="656565"/>
                                        <w:lang w:eastAsia="en-GB"/>
                                      </w:rPr>
                                    </w:pPr>
                                    <w:bookmarkStart w:id="1" w:name="_Hlk6860359"/>
                                    <w:r w:rsidRPr="00E40726">
                                      <w:rPr>
                                        <w:rFonts w:eastAsia="Times New Roman" w:cstheme="minorHAnsi"/>
                                        <w:b/>
                                        <w:color w:val="656565"/>
                                        <w:lang w:eastAsia="en-GB"/>
                                      </w:rPr>
                                      <w:lastRenderedPageBreak/>
                                      <w:t>Disclaimer: This information does not constitute legal advice and should not be treated as such.  It is provided without any representations or warranties, express of implied</w:t>
                                    </w:r>
                                    <w:bookmarkEnd w:id="1"/>
                                    <w:r w:rsidRPr="00E40726">
                                      <w:rPr>
                                        <w:rFonts w:eastAsia="Times New Roman" w:cstheme="minorHAnsi"/>
                                        <w:b/>
                                        <w:color w:val="656565"/>
                                        <w:lang w:eastAsia="en-GB"/>
                                      </w:rPr>
                                      <w:t>.</w:t>
                                    </w:r>
                                    <w:r>
                                      <w:rPr>
                                        <w:rFonts w:eastAsia="Times New Roman" w:cstheme="minorHAnsi"/>
                                        <w:b/>
                                        <w:color w:val="656565"/>
                                        <w:lang w:eastAsia="en-GB"/>
                                      </w:rPr>
                                      <w:t xml:space="preserve"> </w:t>
                                    </w:r>
                                  </w:p>
                                </w:tc>
                              </w:tr>
                            </w:tbl>
                            <w:p w14:paraId="73809971" w14:textId="77777777" w:rsidR="00A90CB5" w:rsidRPr="00775ACD" w:rsidRDefault="00A90CB5" w:rsidP="00A90CB5">
                              <w:pPr>
                                <w:spacing w:after="0" w:line="240" w:lineRule="auto"/>
                                <w:jc w:val="both"/>
                                <w:rPr>
                                  <w:rFonts w:eastAsia="Times New Roman" w:cstheme="minorHAnsi"/>
                                  <w:b/>
                                  <w:lang w:eastAsia="en-GB"/>
                                </w:rPr>
                              </w:pPr>
                            </w:p>
                          </w:tc>
                        </w:tr>
                      </w:tbl>
                      <w:p w14:paraId="2F2C7A0D" w14:textId="77777777" w:rsidR="00A90CB5" w:rsidRPr="00775ACD" w:rsidRDefault="00A90CB5" w:rsidP="00A90CB5">
                        <w:pPr>
                          <w:spacing w:after="0" w:line="240" w:lineRule="auto"/>
                          <w:jc w:val="both"/>
                          <w:rPr>
                            <w:rFonts w:eastAsia="Times New Roman" w:cstheme="minorHAnsi"/>
                            <w:b/>
                            <w:lang w:eastAsia="en-GB"/>
                          </w:rPr>
                        </w:pPr>
                      </w:p>
                    </w:tc>
                  </w:tr>
                  <w:tr w:rsidR="00A90CB5" w:rsidRPr="00775ACD" w14:paraId="2C9A5189" w14:textId="77777777" w:rsidTr="005929E0">
                    <w:tc>
                      <w:tcPr>
                        <w:tcW w:w="0" w:type="auto"/>
                        <w:tcMar>
                          <w:top w:w="135" w:type="dxa"/>
                          <w:left w:w="0" w:type="dxa"/>
                          <w:bottom w:w="0" w:type="dxa"/>
                          <w:right w:w="0" w:type="dxa"/>
                        </w:tcMar>
                      </w:tcPr>
                      <w:p w14:paraId="0489915D" w14:textId="77777777" w:rsidR="00A90CB5" w:rsidRPr="00775ACD" w:rsidRDefault="00A90CB5" w:rsidP="00A90CB5">
                        <w:pPr>
                          <w:spacing w:after="0" w:line="360" w:lineRule="auto"/>
                          <w:jc w:val="both"/>
                          <w:rPr>
                            <w:rFonts w:eastAsia="Times New Roman" w:cstheme="minorHAnsi"/>
                            <w:b/>
                            <w:color w:val="656565"/>
                            <w:lang w:eastAsia="en-GB"/>
                          </w:rPr>
                        </w:pPr>
                      </w:p>
                    </w:tc>
                  </w:tr>
                </w:tbl>
                <w:p w14:paraId="3736C9D0" w14:textId="77777777" w:rsidR="00A90CB5" w:rsidRPr="00775ACD" w:rsidRDefault="00A90CB5" w:rsidP="00A90CB5">
                  <w:pPr>
                    <w:spacing w:after="0" w:line="240" w:lineRule="auto"/>
                    <w:jc w:val="both"/>
                    <w:rPr>
                      <w:rFonts w:eastAsia="Times New Roman" w:cstheme="minorHAnsi"/>
                      <w:b/>
                      <w:lang w:eastAsia="en-GB"/>
                    </w:rPr>
                  </w:pPr>
                </w:p>
              </w:tc>
            </w:tr>
            <w:tr w:rsidR="00A90CB5" w:rsidRPr="00775ACD" w14:paraId="54B8816C" w14:textId="77777777" w:rsidTr="005929E0">
              <w:tblPrEx>
                <w:jc w:val="center"/>
              </w:tblPrEx>
              <w:trPr>
                <w:jc w:val="center"/>
              </w:trPr>
              <w:tc>
                <w:tcPr>
                  <w:tcW w:w="0" w:type="auto"/>
                  <w:tcBorders>
                    <w:top w:val="nil"/>
                    <w:bottom w:val="nil"/>
                  </w:tcBorders>
                  <w:shd w:val="clear" w:color="auto" w:fill="FFFFFF"/>
                  <w:tcMar>
                    <w:top w:w="135" w:type="dxa"/>
                    <w:left w:w="0" w:type="dxa"/>
                    <w:bottom w:w="0" w:type="dxa"/>
                    <w:right w:w="0" w:type="dxa"/>
                  </w:tcMar>
                </w:tcPr>
                <w:p w14:paraId="79E80298" w14:textId="77777777" w:rsidR="00A90CB5" w:rsidRPr="00775ACD" w:rsidRDefault="00A90CB5" w:rsidP="00A90CB5">
                  <w:pPr>
                    <w:spacing w:after="0" w:line="240" w:lineRule="auto"/>
                    <w:jc w:val="both"/>
                    <w:rPr>
                      <w:rFonts w:eastAsia="Times New Roman" w:cstheme="minorHAnsi"/>
                      <w:b/>
                      <w:lang w:eastAsia="en-GB"/>
                    </w:rPr>
                  </w:pPr>
                </w:p>
              </w:tc>
            </w:tr>
            <w:tr w:rsidR="00A90CB5" w:rsidRPr="00775ACD" w14:paraId="5D6C1A7F" w14:textId="77777777" w:rsidTr="005929E0">
              <w:tblPrEx>
                <w:jc w:val="center"/>
              </w:tblPrEx>
              <w:trPr>
                <w:jc w:val="center"/>
              </w:trPr>
              <w:tc>
                <w:tcPr>
                  <w:tcW w:w="0" w:type="auto"/>
                  <w:tcBorders>
                    <w:top w:val="nil"/>
                    <w:bottom w:val="nil"/>
                  </w:tcBorders>
                  <w:shd w:val="clear" w:color="auto" w:fill="FFFFFF"/>
                </w:tcPr>
                <w:p w14:paraId="5E116C14" w14:textId="77777777" w:rsidR="00A90CB5" w:rsidRPr="00775ACD" w:rsidRDefault="00A90CB5" w:rsidP="00A90CB5">
                  <w:pPr>
                    <w:spacing w:after="0" w:line="240" w:lineRule="auto"/>
                    <w:jc w:val="both"/>
                    <w:rPr>
                      <w:rFonts w:eastAsia="Times New Roman" w:cstheme="minorHAnsi"/>
                      <w:b/>
                      <w:lang w:eastAsia="en-GB"/>
                    </w:rPr>
                  </w:pPr>
                </w:p>
              </w:tc>
            </w:tr>
          </w:tbl>
          <w:p w14:paraId="1741752C" w14:textId="77777777" w:rsidR="00AE0E87" w:rsidRPr="00775ACD" w:rsidRDefault="00AE0E87" w:rsidP="00AE0E87">
            <w:pPr>
              <w:spacing w:after="0" w:line="240" w:lineRule="auto"/>
              <w:rPr>
                <w:rFonts w:eastAsia="Times New Roman" w:cstheme="minorHAnsi"/>
                <w:vanish/>
                <w:color w:val="000000"/>
                <w:lang w:eastAsia="en-GB"/>
              </w:rPr>
            </w:pPr>
          </w:p>
          <w:p w14:paraId="4538D633" w14:textId="77777777" w:rsidR="00AE0E87" w:rsidRPr="00775ACD" w:rsidRDefault="00AE0E87" w:rsidP="00AE0E87">
            <w:pPr>
              <w:spacing w:after="0" w:line="240" w:lineRule="auto"/>
              <w:rPr>
                <w:rFonts w:eastAsia="Times New Roman" w:cstheme="minorHAnsi"/>
                <w:color w:val="000000"/>
                <w:lang w:eastAsia="en-GB"/>
              </w:rPr>
            </w:pPr>
          </w:p>
        </w:tc>
      </w:tr>
    </w:tbl>
    <w:p w14:paraId="782BF94E" w14:textId="77777777" w:rsidR="005E766E" w:rsidRPr="00775ACD" w:rsidRDefault="005E766E">
      <w:pPr>
        <w:rPr>
          <w:rFonts w:cstheme="minorHAnsi"/>
        </w:rPr>
      </w:pPr>
    </w:p>
    <w:sectPr w:rsidR="005E766E" w:rsidRPr="00775ACD" w:rsidSect="00A2059A">
      <w:headerReference w:type="even" r:id="rId15"/>
      <w:headerReference w:type="default" r:id="rId16"/>
      <w:footerReference w:type="even" r:id="rId17"/>
      <w:footerReference w:type="default" r:id="rId18"/>
      <w:headerReference w:type="first" r:id="rId19"/>
      <w:footerReference w:type="first" r:id="rId20"/>
      <w:pgSz w:w="11906" w:h="16838"/>
      <w:pgMar w:top="567" w:right="720" w:bottom="720" w:left="720" w:header="284"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B9BFC9" w14:textId="77777777" w:rsidR="00FF0D72" w:rsidRDefault="00FF0D72" w:rsidP="00AE0E87">
      <w:pPr>
        <w:spacing w:after="0" w:line="240" w:lineRule="auto"/>
      </w:pPr>
      <w:r>
        <w:separator/>
      </w:r>
    </w:p>
  </w:endnote>
  <w:endnote w:type="continuationSeparator" w:id="0">
    <w:p w14:paraId="19C734D9" w14:textId="77777777" w:rsidR="00FF0D72" w:rsidRDefault="00FF0D72" w:rsidP="00AE0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E3441" w14:textId="77777777" w:rsidR="007E1F9A" w:rsidRDefault="007E1F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F0737" w14:textId="217FD97A" w:rsidR="007E1F9A" w:rsidRPr="007B42B0" w:rsidRDefault="007E1F9A" w:rsidP="00FC1641">
    <w:pPr>
      <w:spacing w:before="63"/>
      <w:rPr>
        <w:rFonts w:ascii="Calibri Light"/>
        <w:sz w:val="16"/>
        <w:szCs w:val="16"/>
      </w:rPr>
    </w:pPr>
    <w:r w:rsidRPr="007B42B0">
      <w:rPr>
        <w:rFonts w:ascii="Calibri Light"/>
        <w:color w:val="7E7E7E"/>
        <w:sz w:val="16"/>
        <w:szCs w:val="16"/>
      </w:rPr>
      <w:t xml:space="preserve">Woodstock Property Law is the trading name of Woodstock Property Law Limited (registered in England and Wales with company number 09002137). Authorised and regulated by the Solicitors Regulation Authority (SRA No. 614145) see </w:t>
    </w:r>
    <w:hyperlink r:id="rId1">
      <w:r w:rsidRPr="007B42B0">
        <w:rPr>
          <w:rFonts w:ascii="Calibri Light"/>
          <w:color w:val="7E7E7E"/>
          <w:sz w:val="16"/>
          <w:szCs w:val="16"/>
          <w:u w:val="single" w:color="7E7E7E"/>
        </w:rPr>
        <w:t>www.sra.org.uk/rules.</w:t>
      </w:r>
    </w:hyperlink>
  </w:p>
  <w:p w14:paraId="367D219F" w14:textId="47CDEA7C" w:rsidR="007E1F9A" w:rsidRDefault="007E1F9A" w:rsidP="00A06B2C">
    <w:pPr>
      <w:spacing w:after="0"/>
      <w:textAlignment w:val="center"/>
      <w:rPr>
        <w:rFonts w:ascii="Calibri Light" w:hAnsi="Calibri Light" w:cs="Calibri Light"/>
        <w:color w:val="7F7F7F" w:themeColor="text1" w:themeTint="80"/>
        <w:sz w:val="16"/>
        <w:szCs w:val="16"/>
      </w:rPr>
    </w:pPr>
    <w:r w:rsidRPr="007B42B0">
      <w:rPr>
        <w:rFonts w:ascii="Calibri Light"/>
        <w:color w:val="808080"/>
        <w:sz w:val="16"/>
        <w:szCs w:val="16"/>
      </w:rPr>
      <w:t>Registered</w:t>
    </w:r>
    <w:r w:rsidRPr="007B42B0">
      <w:rPr>
        <w:rFonts w:ascii="Calibri Light"/>
        <w:color w:val="808080"/>
        <w:spacing w:val="-10"/>
        <w:sz w:val="16"/>
        <w:szCs w:val="16"/>
      </w:rPr>
      <w:t xml:space="preserve"> </w:t>
    </w:r>
    <w:r w:rsidRPr="007B42B0">
      <w:rPr>
        <w:rFonts w:ascii="Calibri Light"/>
        <w:color w:val="808080"/>
        <w:sz w:val="16"/>
        <w:szCs w:val="16"/>
      </w:rPr>
      <w:t>office:</w:t>
    </w:r>
    <w:r w:rsidRPr="007B42B0">
      <w:rPr>
        <w:sz w:val="16"/>
        <w:szCs w:val="16"/>
      </w:rPr>
      <w:t xml:space="preserve"> </w:t>
    </w:r>
    <w:proofErr w:type="spellStart"/>
    <w:r w:rsidRPr="007B42B0">
      <w:rPr>
        <w:rFonts w:ascii="Calibri Light" w:hAnsi="Calibri Light" w:cs="Calibri Light"/>
        <w:color w:val="7F7F7F" w:themeColor="text1" w:themeTint="80"/>
        <w:sz w:val="16"/>
        <w:szCs w:val="16"/>
      </w:rPr>
      <w:t>Coursebeer</w:t>
    </w:r>
    <w:proofErr w:type="spellEnd"/>
    <w:r w:rsidRPr="007B42B0">
      <w:rPr>
        <w:rFonts w:ascii="Calibri Light" w:hAnsi="Calibri Light" w:cs="Calibri Light"/>
        <w:color w:val="7F7F7F" w:themeColor="text1" w:themeTint="80"/>
        <w:sz w:val="16"/>
        <w:szCs w:val="16"/>
      </w:rPr>
      <w:t xml:space="preserve"> Farm, The Barn, </w:t>
    </w:r>
    <w:proofErr w:type="spellStart"/>
    <w:r w:rsidRPr="007B42B0">
      <w:rPr>
        <w:rFonts w:ascii="Calibri Light" w:hAnsi="Calibri Light" w:cs="Calibri Light"/>
        <w:color w:val="7F7F7F" w:themeColor="text1" w:themeTint="80"/>
        <w:sz w:val="16"/>
        <w:szCs w:val="16"/>
      </w:rPr>
      <w:t>Whiddon</w:t>
    </w:r>
    <w:proofErr w:type="spellEnd"/>
    <w:r w:rsidRPr="007B42B0">
      <w:rPr>
        <w:rFonts w:ascii="Calibri Light" w:hAnsi="Calibri Light" w:cs="Calibri Light"/>
        <w:color w:val="7F7F7F" w:themeColor="text1" w:themeTint="80"/>
        <w:sz w:val="16"/>
        <w:szCs w:val="16"/>
      </w:rPr>
      <w:t xml:space="preserve"> Down EX20 2QZ</w:t>
    </w:r>
  </w:p>
  <w:p w14:paraId="41A97B14" w14:textId="59B1D44E" w:rsidR="007E1F9A" w:rsidRPr="00A06B2C" w:rsidRDefault="007E1F9A" w:rsidP="00A06B2C">
    <w:pPr>
      <w:spacing w:after="0"/>
      <w:textAlignment w:val="center"/>
      <w:rPr>
        <w:rFonts w:ascii="Calibri Light" w:hAnsi="Calibri Light" w:cs="Calibri Light"/>
        <w:color w:val="7F7F7F" w:themeColor="text1" w:themeTint="80"/>
        <w:sz w:val="16"/>
        <w:szCs w:val="16"/>
      </w:rPr>
    </w:pPr>
    <w:r>
      <w:rPr>
        <w:rFonts w:ascii="Calibri Light" w:hAnsi="Calibri Light" w:cs="Calibri Light"/>
        <w:color w:val="7F7F7F" w:themeColor="text1" w:themeTint="80"/>
        <w:sz w:val="16"/>
        <w:szCs w:val="16"/>
      </w:rPr>
      <w:t>Postal address 7-9 Haven Road, Poole, Dorset, BH13 7LE</w:t>
    </w:r>
  </w:p>
  <w:p w14:paraId="35A2BA26" w14:textId="77777777" w:rsidR="007E1F9A" w:rsidRPr="00BB6A89" w:rsidRDefault="007E1F9A" w:rsidP="00FC1641">
    <w:pPr>
      <w:tabs>
        <w:tab w:val="left" w:pos="5940"/>
      </w:tabs>
      <w:spacing w:line="268" w:lineRule="exact"/>
      <w:ind w:left="119"/>
      <w:jc w:val="right"/>
      <w:rPr>
        <w:rFonts w:ascii="Calibri Light"/>
        <w:b/>
        <w:color w:val="3F90B1"/>
        <w:sz w:val="16"/>
        <w:szCs w:val="16"/>
      </w:rPr>
    </w:pPr>
    <w:r w:rsidRPr="007B42B0">
      <w:rPr>
        <w:rFonts w:ascii="Calibri Light"/>
        <w:color w:val="808080"/>
        <w:sz w:val="16"/>
        <w:szCs w:val="16"/>
      </w:rPr>
      <w:tab/>
    </w:r>
    <w:r w:rsidRPr="00BB6A89">
      <w:rPr>
        <w:rFonts w:ascii="Calibri Light"/>
        <w:b/>
        <w:color w:val="00B0F0"/>
        <w:sz w:val="16"/>
        <w:szCs w:val="16"/>
      </w:rPr>
      <w:t>web:</w:t>
    </w:r>
    <w:r w:rsidRPr="00BB6A89">
      <w:rPr>
        <w:rFonts w:ascii="Calibri Light"/>
        <w:b/>
        <w:color w:val="00B0F0"/>
        <w:spacing w:val="10"/>
        <w:sz w:val="16"/>
        <w:szCs w:val="16"/>
      </w:rPr>
      <w:t xml:space="preserve"> </w:t>
    </w:r>
    <w:r w:rsidRPr="00BB6A89">
      <w:rPr>
        <w:rFonts w:ascii="Calibri Light"/>
        <w:b/>
        <w:color w:val="00B0F0"/>
        <w:spacing w:val="-3"/>
        <w:sz w:val="16"/>
        <w:szCs w:val="16"/>
      </w:rPr>
      <w:t>woodstockpropertylaw.com</w:t>
    </w:r>
  </w:p>
  <w:p w14:paraId="3ECC1DA5" w14:textId="77777777" w:rsidR="007E1F9A" w:rsidRDefault="007E1F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5E569" w14:textId="77777777" w:rsidR="007E1F9A" w:rsidRDefault="007E1F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8D1C46" w14:textId="77777777" w:rsidR="00FF0D72" w:rsidRDefault="00FF0D72" w:rsidP="00AE0E87">
      <w:pPr>
        <w:spacing w:after="0" w:line="240" w:lineRule="auto"/>
      </w:pPr>
      <w:r>
        <w:separator/>
      </w:r>
    </w:p>
  </w:footnote>
  <w:footnote w:type="continuationSeparator" w:id="0">
    <w:p w14:paraId="4D7B891C" w14:textId="77777777" w:rsidR="00FF0D72" w:rsidRDefault="00FF0D72" w:rsidP="00AE0E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A724A" w14:textId="77777777" w:rsidR="007E1F9A" w:rsidRDefault="007E1F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2E2D0" w14:textId="77777777" w:rsidR="007E1F9A" w:rsidRDefault="007E1F9A" w:rsidP="00AE0E87">
    <w:pPr>
      <w:pStyle w:val="Header"/>
      <w:tabs>
        <w:tab w:val="clear" w:pos="4513"/>
        <w:tab w:val="clear" w:pos="9026"/>
        <w:tab w:val="left" w:pos="3488"/>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5A46D" w14:textId="77777777" w:rsidR="007E1F9A" w:rsidRDefault="007E1F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644CB"/>
    <w:multiLevelType w:val="multilevel"/>
    <w:tmpl w:val="B04A8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AB4FE7"/>
    <w:multiLevelType w:val="hybridMultilevel"/>
    <w:tmpl w:val="51EA034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7A07EA9"/>
    <w:multiLevelType w:val="hybridMultilevel"/>
    <w:tmpl w:val="C68A33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0F303A"/>
    <w:multiLevelType w:val="hybridMultilevel"/>
    <w:tmpl w:val="0248FD8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412F6642"/>
    <w:multiLevelType w:val="multilevel"/>
    <w:tmpl w:val="742071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656FE7"/>
    <w:multiLevelType w:val="hybridMultilevel"/>
    <w:tmpl w:val="647A1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882858"/>
    <w:multiLevelType w:val="multilevel"/>
    <w:tmpl w:val="FCD40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DF00E7"/>
    <w:multiLevelType w:val="multilevel"/>
    <w:tmpl w:val="7902B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88B5F1B"/>
    <w:multiLevelType w:val="multilevel"/>
    <w:tmpl w:val="6D720B7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9327518"/>
    <w:multiLevelType w:val="multilevel"/>
    <w:tmpl w:val="C9CAD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41D3E9A"/>
    <w:multiLevelType w:val="hybridMultilevel"/>
    <w:tmpl w:val="8A8C84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7934093F"/>
    <w:multiLevelType w:val="multilevel"/>
    <w:tmpl w:val="E286B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8"/>
  </w:num>
  <w:num w:numId="4">
    <w:abstractNumId w:val="6"/>
  </w:num>
  <w:num w:numId="5">
    <w:abstractNumId w:val="9"/>
  </w:num>
  <w:num w:numId="6">
    <w:abstractNumId w:val="1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APTempPath" w:val="C:\Users\Paula Hebberd .LAPTOP-M0H0196Q\AppData\Local\LEAP Desktop\CDE\479a790c-5374-40d8-ae34-26ed25d80677\LEAP2Office\MacroFields\"/>
    <w:docVar w:name="LEAPUniqueCode" w:val="709c7df9-9dc0-43cd-ac95-ffd7ae9450ba"/>
  </w:docVars>
  <w:rsids>
    <w:rsidRoot w:val="00AE0E87"/>
    <w:rsid w:val="000571DA"/>
    <w:rsid w:val="000D4224"/>
    <w:rsid w:val="001270DD"/>
    <w:rsid w:val="001A1506"/>
    <w:rsid w:val="001E4EF7"/>
    <w:rsid w:val="001F18BD"/>
    <w:rsid w:val="00296998"/>
    <w:rsid w:val="002975CC"/>
    <w:rsid w:val="003E6229"/>
    <w:rsid w:val="003F6022"/>
    <w:rsid w:val="004110F7"/>
    <w:rsid w:val="004A6E90"/>
    <w:rsid w:val="0050417B"/>
    <w:rsid w:val="0052609D"/>
    <w:rsid w:val="005929E0"/>
    <w:rsid w:val="005E766E"/>
    <w:rsid w:val="0064273C"/>
    <w:rsid w:val="00656646"/>
    <w:rsid w:val="006A0DE2"/>
    <w:rsid w:val="00716624"/>
    <w:rsid w:val="00763D97"/>
    <w:rsid w:val="00771FC0"/>
    <w:rsid w:val="00775ACD"/>
    <w:rsid w:val="007A7613"/>
    <w:rsid w:val="007D2212"/>
    <w:rsid w:val="007E1F9A"/>
    <w:rsid w:val="007F5335"/>
    <w:rsid w:val="008F3378"/>
    <w:rsid w:val="00987E5A"/>
    <w:rsid w:val="009E2189"/>
    <w:rsid w:val="00A06B2C"/>
    <w:rsid w:val="00A2059A"/>
    <w:rsid w:val="00A90CB5"/>
    <w:rsid w:val="00A94029"/>
    <w:rsid w:val="00AB3978"/>
    <w:rsid w:val="00AE0E87"/>
    <w:rsid w:val="00B55EA6"/>
    <w:rsid w:val="00B573E2"/>
    <w:rsid w:val="00B61EBB"/>
    <w:rsid w:val="00BB6A89"/>
    <w:rsid w:val="00BC0F24"/>
    <w:rsid w:val="00BF601F"/>
    <w:rsid w:val="00C34728"/>
    <w:rsid w:val="00C35638"/>
    <w:rsid w:val="00D16866"/>
    <w:rsid w:val="00D223CB"/>
    <w:rsid w:val="00D8399A"/>
    <w:rsid w:val="00E109B6"/>
    <w:rsid w:val="00E12271"/>
    <w:rsid w:val="00E322DC"/>
    <w:rsid w:val="00E40726"/>
    <w:rsid w:val="00E61C7E"/>
    <w:rsid w:val="00E65AE7"/>
    <w:rsid w:val="00ED4541"/>
    <w:rsid w:val="00FC1641"/>
    <w:rsid w:val="00FD5186"/>
    <w:rsid w:val="00FF0D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CC8110"/>
  <w15:chartTrackingRefBased/>
  <w15:docId w15:val="{F190B983-9508-4DEA-ACFE-1706D4093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0E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0E87"/>
  </w:style>
  <w:style w:type="paragraph" w:styleId="Footer">
    <w:name w:val="footer"/>
    <w:basedOn w:val="Normal"/>
    <w:link w:val="FooterChar"/>
    <w:uiPriority w:val="99"/>
    <w:unhideWhenUsed/>
    <w:rsid w:val="00AE0E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0E87"/>
  </w:style>
  <w:style w:type="paragraph" w:styleId="BalloonText">
    <w:name w:val="Balloon Text"/>
    <w:basedOn w:val="Normal"/>
    <w:link w:val="BalloonTextChar"/>
    <w:uiPriority w:val="99"/>
    <w:semiHidden/>
    <w:unhideWhenUsed/>
    <w:rsid w:val="00FC16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1641"/>
    <w:rPr>
      <w:rFonts w:ascii="Segoe UI" w:hAnsi="Segoe UI" w:cs="Segoe UI"/>
      <w:sz w:val="18"/>
      <w:szCs w:val="18"/>
    </w:rPr>
  </w:style>
  <w:style w:type="paragraph" w:styleId="ListParagraph">
    <w:name w:val="List Paragraph"/>
    <w:basedOn w:val="Normal"/>
    <w:uiPriority w:val="34"/>
    <w:qFormat/>
    <w:rsid w:val="009E2189"/>
    <w:pPr>
      <w:ind w:left="720"/>
      <w:contextualSpacing/>
    </w:pPr>
  </w:style>
  <w:style w:type="character" w:styleId="Hyperlink">
    <w:name w:val="Hyperlink"/>
    <w:basedOn w:val="DefaultParagraphFont"/>
    <w:uiPriority w:val="99"/>
    <w:unhideWhenUsed/>
    <w:rsid w:val="003E6229"/>
    <w:rPr>
      <w:color w:val="0563C1" w:themeColor="hyperlink"/>
      <w:u w:val="single"/>
    </w:rPr>
  </w:style>
  <w:style w:type="character" w:styleId="Strong">
    <w:name w:val="Strong"/>
    <w:basedOn w:val="DefaultParagraphFont"/>
    <w:uiPriority w:val="22"/>
    <w:qFormat/>
    <w:rsid w:val="00C356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062241">
      <w:bodyDiv w:val="1"/>
      <w:marLeft w:val="0"/>
      <w:marRight w:val="0"/>
      <w:marTop w:val="0"/>
      <w:marBottom w:val="0"/>
      <w:divBdr>
        <w:top w:val="none" w:sz="0" w:space="0" w:color="auto"/>
        <w:left w:val="none" w:sz="0" w:space="0" w:color="auto"/>
        <w:bottom w:val="none" w:sz="0" w:space="0" w:color="auto"/>
        <w:right w:val="none" w:sz="0" w:space="0" w:color="auto"/>
      </w:divBdr>
    </w:div>
    <w:div w:id="404189066">
      <w:bodyDiv w:val="1"/>
      <w:marLeft w:val="0"/>
      <w:marRight w:val="0"/>
      <w:marTop w:val="0"/>
      <w:marBottom w:val="0"/>
      <w:divBdr>
        <w:top w:val="none" w:sz="0" w:space="0" w:color="auto"/>
        <w:left w:val="none" w:sz="0" w:space="0" w:color="auto"/>
        <w:bottom w:val="none" w:sz="0" w:space="0" w:color="auto"/>
        <w:right w:val="none" w:sz="0" w:space="0" w:color="auto"/>
      </w:divBdr>
    </w:div>
    <w:div w:id="408774414">
      <w:bodyDiv w:val="1"/>
      <w:marLeft w:val="0"/>
      <w:marRight w:val="0"/>
      <w:marTop w:val="0"/>
      <w:marBottom w:val="0"/>
      <w:divBdr>
        <w:top w:val="none" w:sz="0" w:space="0" w:color="auto"/>
        <w:left w:val="none" w:sz="0" w:space="0" w:color="auto"/>
        <w:bottom w:val="none" w:sz="0" w:space="0" w:color="auto"/>
        <w:right w:val="none" w:sz="0" w:space="0" w:color="auto"/>
      </w:divBdr>
    </w:div>
    <w:div w:id="479082844">
      <w:bodyDiv w:val="1"/>
      <w:marLeft w:val="0"/>
      <w:marRight w:val="0"/>
      <w:marTop w:val="0"/>
      <w:marBottom w:val="0"/>
      <w:divBdr>
        <w:top w:val="none" w:sz="0" w:space="0" w:color="auto"/>
        <w:left w:val="none" w:sz="0" w:space="0" w:color="auto"/>
        <w:bottom w:val="none" w:sz="0" w:space="0" w:color="auto"/>
        <w:right w:val="none" w:sz="0" w:space="0" w:color="auto"/>
      </w:divBdr>
    </w:div>
    <w:div w:id="1122966649">
      <w:bodyDiv w:val="1"/>
      <w:marLeft w:val="0"/>
      <w:marRight w:val="0"/>
      <w:marTop w:val="0"/>
      <w:marBottom w:val="0"/>
      <w:divBdr>
        <w:top w:val="none" w:sz="0" w:space="0" w:color="auto"/>
        <w:left w:val="none" w:sz="0" w:space="0" w:color="auto"/>
        <w:bottom w:val="none" w:sz="0" w:space="0" w:color="auto"/>
        <w:right w:val="none" w:sz="0" w:space="0" w:color="auto"/>
      </w:divBdr>
    </w:div>
    <w:div w:id="1318537036">
      <w:bodyDiv w:val="1"/>
      <w:marLeft w:val="0"/>
      <w:marRight w:val="0"/>
      <w:marTop w:val="0"/>
      <w:marBottom w:val="0"/>
      <w:divBdr>
        <w:top w:val="none" w:sz="0" w:space="0" w:color="auto"/>
        <w:left w:val="none" w:sz="0" w:space="0" w:color="auto"/>
        <w:bottom w:val="none" w:sz="0" w:space="0" w:color="auto"/>
        <w:right w:val="none" w:sz="0" w:space="0" w:color="auto"/>
      </w:divBdr>
    </w:div>
    <w:div w:id="1505513001">
      <w:bodyDiv w:val="1"/>
      <w:marLeft w:val="0"/>
      <w:marRight w:val="0"/>
      <w:marTop w:val="0"/>
      <w:marBottom w:val="0"/>
      <w:divBdr>
        <w:top w:val="none" w:sz="0" w:space="0" w:color="auto"/>
        <w:left w:val="none" w:sz="0" w:space="0" w:color="auto"/>
        <w:bottom w:val="none" w:sz="0" w:space="0" w:color="auto"/>
        <w:right w:val="none" w:sz="0" w:space="0" w:color="auto"/>
      </w:divBdr>
    </w:div>
    <w:div w:id="1736195615">
      <w:bodyDiv w:val="1"/>
      <w:marLeft w:val="0"/>
      <w:marRight w:val="0"/>
      <w:marTop w:val="0"/>
      <w:marBottom w:val="0"/>
      <w:divBdr>
        <w:top w:val="none" w:sz="0" w:space="0" w:color="auto"/>
        <w:left w:val="none" w:sz="0" w:space="0" w:color="auto"/>
        <w:bottom w:val="none" w:sz="0" w:space="0" w:color="auto"/>
        <w:right w:val="none" w:sz="0" w:space="0" w:color="auto"/>
      </w:divBdr>
    </w:div>
    <w:div w:id="1961916141">
      <w:bodyDiv w:val="1"/>
      <w:marLeft w:val="0"/>
      <w:marRight w:val="0"/>
      <w:marTop w:val="0"/>
      <w:marBottom w:val="0"/>
      <w:divBdr>
        <w:top w:val="none" w:sz="0" w:space="0" w:color="auto"/>
        <w:left w:val="none" w:sz="0" w:space="0" w:color="auto"/>
        <w:bottom w:val="none" w:sz="0" w:space="0" w:color="auto"/>
        <w:right w:val="none" w:sz="0" w:space="0" w:color="auto"/>
      </w:divBdr>
    </w:div>
    <w:div w:id="200739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rla.org.uk/landlord/documents/tenancy_agreement/company_let_agreement.shtml"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assets.publishing.service.gov.uk/government/uploads/system/uploads/attachment_data/file/791276/TFA_Statutory_Enforcement_Guidance.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ssets.publishing.service.gov.uk/government/uploads/system/uploads/attachment_data/file/791280/TFA_Guidance_for_Tenants.pdf"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assets.publishing.service.gov.uk/government/uploads/system/uploads/attachment_data/file/791273/TFA_Guidance_for_LandlordsAgents.pdf" TargetMode="Externa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rla.org.uk/landlord/documents/section-21-for-england.shtml"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sra.org.uk/ru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EAPWordCustomPart xmlns="http://LEAPWordCustomPart.com">
  <LEAPDefaultTable xmlns=""/>
  <LEAPFirmCode xmlns="">8fa40539-0605-406d-97dc-cde5ea60aab9</LEAPFirmCode>
  <LEAPIsPrecedent xmlns="">False</LEAPIsPrecedent>
  <LEAPTempPath xmlns="">C:\Users\Paula Hebberd .LAPTOP-M0H0196Q\AppData\Local\LEAP Desktop\CDE\479a790c-5374-40d8-ae34-26ed25d80677\LEAP2Office\MacroFields\</LEAPTempPath>
  <LEAPCursorStartPosition xmlns="">13422</LEAPCursorStartPosition>
  <LEAPCursorEndPosition xmlns="">13422</LEAPCursorEndPosition>
  <LEAPCharacterCount xmlns="">18719</LEAPCharacterCount>
</LEAPWordCustomPar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8AF474-97D1-446F-96E2-2EA608638D20}">
  <ds:schemaRefs>
    <ds:schemaRef ds:uri="http://LEAPWordCustomPart.com"/>
    <ds:schemaRef ds:uri=""/>
  </ds:schemaRefs>
</ds:datastoreItem>
</file>

<file path=customXml/itemProps2.xml><?xml version="1.0" encoding="utf-8"?>
<ds:datastoreItem xmlns:ds="http://schemas.openxmlformats.org/officeDocument/2006/customXml" ds:itemID="{BB4B57DE-8147-4D96-B55B-5BDC880DD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2891</Words>
  <Characters>16482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hebberd</dc:creator>
  <cp:keywords/>
  <dc:description/>
  <cp:lastModifiedBy>Isobel Thomson</cp:lastModifiedBy>
  <cp:revision>2</cp:revision>
  <cp:lastPrinted>2019-04-23T18:34:00Z</cp:lastPrinted>
  <dcterms:created xsi:type="dcterms:W3CDTF">2019-05-10T11:17:00Z</dcterms:created>
  <dcterms:modified xsi:type="dcterms:W3CDTF">2019-05-10T11:17:00Z</dcterms:modified>
</cp:coreProperties>
</file>